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AD21" w14:textId="77777777" w:rsidR="00F012BB" w:rsidRDefault="00000000">
      <w:pPr>
        <w:pStyle w:val="Standard"/>
        <w:snapToGrid w:val="0"/>
        <w:ind w:left="720"/>
        <w:jc w:val="center"/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年度經營或籌辦計畫參考範例</w:t>
      </w:r>
    </w:p>
    <w:p w14:paraId="5B6ECFFC" w14:textId="77777777" w:rsidR="00F012BB" w:rsidRDefault="00000000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36"/>
        </w:rPr>
        <w:t>計畫填寫說明：</w:t>
      </w:r>
    </w:p>
    <w:p w14:paraId="452DE045" w14:textId="77777777" w:rsidR="00F012BB" w:rsidRDefault="00000000">
      <w:pPr>
        <w:pStyle w:val="a8"/>
        <w:numPr>
          <w:ilvl w:val="0"/>
          <w:numId w:val="39"/>
        </w:numPr>
        <w:snapToGrid w:val="0"/>
      </w:pPr>
      <w:r>
        <w:rPr>
          <w:rFonts w:ascii="Times New Roman" w:eastAsia="標楷體" w:hAnsi="Times New Roman" w:cs="Times New Roman"/>
          <w:sz w:val="28"/>
          <w:szCs w:val="36"/>
        </w:rPr>
        <w:t>計畫內容以強化營運、逐年提升獲利能力為方向。</w:t>
      </w:r>
    </w:p>
    <w:p w14:paraId="0C019C39" w14:textId="77777777" w:rsidR="00F012BB" w:rsidRDefault="00000000">
      <w:pPr>
        <w:pStyle w:val="a8"/>
        <w:numPr>
          <w:ilvl w:val="0"/>
          <w:numId w:val="13"/>
        </w:numPr>
        <w:snapToGrid w:val="0"/>
      </w:pPr>
      <w:r>
        <w:rPr>
          <w:rFonts w:ascii="Times New Roman" w:eastAsia="標楷體" w:hAnsi="Times New Roman" w:cs="Times New Roman"/>
          <w:sz w:val="28"/>
          <w:szCs w:val="36"/>
        </w:rPr>
        <w:t>計畫經費需求應考量原先投入經費的規模、現行經費缺口、所欲提升之營運面向。並非提報愈多就</w:t>
      </w:r>
      <w:proofErr w:type="gramStart"/>
      <w:r>
        <w:rPr>
          <w:rFonts w:ascii="Times New Roman" w:eastAsia="標楷體" w:hAnsi="Times New Roman" w:cs="Times New Roman"/>
          <w:sz w:val="28"/>
          <w:szCs w:val="36"/>
        </w:rPr>
        <w:t>可以拿愈多</w:t>
      </w:r>
      <w:proofErr w:type="gramEnd"/>
      <w:r>
        <w:rPr>
          <w:rFonts w:ascii="Times New Roman" w:eastAsia="標楷體" w:hAnsi="Times New Roman" w:cs="Times New Roman"/>
          <w:sz w:val="28"/>
          <w:szCs w:val="36"/>
        </w:rPr>
        <w:t>，應務實評估相關經費需求。</w:t>
      </w:r>
    </w:p>
    <w:p w14:paraId="34D2F26D" w14:textId="77777777" w:rsidR="00F012BB" w:rsidRDefault="00000000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36"/>
        </w:rPr>
        <w:t>申請者備註：底色部分除總收入支出可公開外，其餘涉及公司財務資訊及財務報表均請勿公告。</w:t>
      </w:r>
    </w:p>
    <w:p w14:paraId="1BAB1086" w14:textId="77777777" w:rsidR="00F012BB" w:rsidRDefault="00000000">
      <w:pPr>
        <w:pStyle w:val="Standard"/>
        <w:snapToGrid w:val="0"/>
        <w:jc w:val="right"/>
      </w:pPr>
      <w:commentRangeStart w:id="0"/>
      <w:r>
        <w:rPr>
          <w:rFonts w:ascii="Times New Roman" w:eastAsia="標楷體" w:hAnsi="Times New Roman" w:cs="Times New Roman"/>
        </w:rPr>
        <w:t>114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/>
        </w:rPr>
        <w:t>日</w:t>
      </w:r>
      <w:bookmarkStart w:id="1" w:name="_Hlk535334696"/>
      <w:bookmarkEnd w:id="1"/>
      <w:commentRangeEnd w:id="0"/>
      <w:r>
        <w:rPr>
          <w:rStyle w:val="af4"/>
        </w:rPr>
        <w:commentReference w:id="0"/>
      </w:r>
    </w:p>
    <w:p w14:paraId="0CA59EC1" w14:textId="77777777" w:rsidR="00F012BB" w:rsidRDefault="00000000">
      <w:pPr>
        <w:pStyle w:val="a8"/>
        <w:numPr>
          <w:ilvl w:val="0"/>
          <w:numId w:val="40"/>
        </w:numPr>
        <w:snapToGrid w:val="0"/>
        <w:spacing w:line="480" w:lineRule="exact"/>
      </w:pPr>
      <w:r>
        <w:rPr>
          <w:rFonts w:ascii="Times New Roman" w:eastAsia="標楷體" w:hAnsi="Times New Roman" w:cs="Times New Roman"/>
          <w:b/>
          <w:sz w:val="32"/>
          <w:szCs w:val="32"/>
        </w:rPr>
        <w:t>本年度營運目標</w:t>
      </w:r>
      <w:r>
        <w:rPr>
          <w:rFonts w:ascii="Times New Roman" w:eastAsia="標楷體" w:hAnsi="Times New Roman" w:cs="Times New Roman"/>
          <w:b/>
          <w:sz w:val="32"/>
          <w:szCs w:val="32"/>
        </w:rPr>
        <w:t>_</w:t>
      </w:r>
      <w:commentRangeStart w:id="2"/>
      <w:r>
        <w:rPr>
          <w:rFonts w:ascii="Times New Roman" w:eastAsia="標楷體" w:hAnsi="Times New Roman" w:cs="Times New Roman"/>
          <w:b/>
          <w:sz w:val="32"/>
          <w:szCs w:val="32"/>
        </w:rPr>
        <w:t>質化指標</w:t>
      </w:r>
      <w:commentRangeEnd w:id="2"/>
      <w:r>
        <w:rPr>
          <w:rFonts w:ascii="Times New Roman" w:eastAsia="標楷體" w:hAnsi="Times New Roman" w:cs="Times New Roman"/>
        </w:rPr>
        <w:commentReference w:id="2"/>
      </w:r>
      <w:r>
        <w:rPr>
          <w:rFonts w:ascii="Times New Roman" w:eastAsia="標楷體" w:hAnsi="Times New Roman" w:cs="Times New Roman"/>
          <w:b/>
          <w:sz w:val="32"/>
          <w:szCs w:val="32"/>
        </w:rPr>
        <w:t>：推動在地籃球風氣</w:t>
      </w:r>
    </w:p>
    <w:p w14:paraId="48C7FCD2" w14:textId="77777777" w:rsidR="00F012BB" w:rsidRDefault="00000000">
      <w:pPr>
        <w:pStyle w:val="a8"/>
        <w:snapToGrid w:val="0"/>
        <w:spacing w:line="480" w:lineRule="exact"/>
        <w:ind w:left="709"/>
      </w:pPr>
      <w:r>
        <w:rPr>
          <w:rFonts w:ascii="Times New Roman" w:eastAsia="標楷體" w:hAnsi="Times New Roman" w:cs="Times New Roman"/>
          <w:bCs/>
          <w:sz w:val="32"/>
          <w:szCs w:val="32"/>
        </w:rPr>
        <w:t>本隊主場扎根於</w:t>
      </w:r>
      <w:proofErr w:type="gramStart"/>
      <w:r>
        <w:rPr>
          <w:rFonts w:ascii="Times New Roman" w:eastAsia="標楷體" w:hAnsi="Times New Roman" w:cs="Times New Roman"/>
          <w:bCs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bCs/>
          <w:sz w:val="32"/>
          <w:szCs w:val="32"/>
        </w:rPr>
        <w:t>南永康，致力於推廣</w:t>
      </w:r>
      <w:proofErr w:type="gramStart"/>
      <w:r>
        <w:rPr>
          <w:rFonts w:ascii="Times New Roman" w:eastAsia="標楷體" w:hAnsi="Times New Roman" w:cs="Times New Roman"/>
          <w:bCs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bCs/>
          <w:sz w:val="32"/>
          <w:szCs w:val="32"/>
        </w:rPr>
        <w:t>南、高雄及嘉義地區籃球風氣，期透過於各級學校推廣籃球活動，向下扎根，培育南部地區籃球人才，推動在地籃球風氣。</w:t>
      </w:r>
    </w:p>
    <w:p w14:paraId="3B3AF2A9" w14:textId="77777777" w:rsidR="00F012BB" w:rsidRDefault="00000000">
      <w:pPr>
        <w:pStyle w:val="a8"/>
        <w:numPr>
          <w:ilvl w:val="0"/>
          <w:numId w:val="5"/>
        </w:numPr>
        <w:snapToGrid w:val="0"/>
        <w:spacing w:line="480" w:lineRule="exact"/>
      </w:pPr>
      <w:r>
        <w:rPr>
          <w:rFonts w:ascii="Times New Roman" w:eastAsia="標楷體" w:hAnsi="Times New Roman" w:cs="Times New Roman"/>
          <w:b/>
          <w:sz w:val="32"/>
          <w:szCs w:val="32"/>
        </w:rPr>
        <w:t>本年度營運目標</w:t>
      </w:r>
      <w:r>
        <w:rPr>
          <w:rFonts w:ascii="Times New Roman" w:eastAsia="標楷體" w:hAnsi="Times New Roman" w:cs="Times New Roman"/>
          <w:b/>
          <w:sz w:val="32"/>
          <w:szCs w:val="32"/>
        </w:rPr>
        <w:t>_</w:t>
      </w:r>
      <w:commentRangeStart w:id="3"/>
      <w:r>
        <w:rPr>
          <w:rFonts w:ascii="Times New Roman" w:eastAsia="標楷體" w:hAnsi="Times New Roman" w:cs="Times New Roman"/>
          <w:b/>
          <w:sz w:val="32"/>
          <w:szCs w:val="32"/>
        </w:rPr>
        <w:t>量化指標</w:t>
      </w:r>
      <w:commentRangeEnd w:id="3"/>
      <w:r>
        <w:rPr>
          <w:rFonts w:ascii="Times New Roman" w:eastAsia="標楷體" w:hAnsi="Times New Roman" w:cs="Times New Roman"/>
        </w:rPr>
        <w:commentReference w:id="3"/>
      </w:r>
      <w:r>
        <w:rPr>
          <w:rFonts w:ascii="Times New Roman" w:eastAsia="標楷體" w:hAnsi="Times New Roman" w:cs="Times New Roman"/>
          <w:b/>
          <w:sz w:val="32"/>
          <w:szCs w:val="32"/>
        </w:rPr>
        <w:t>與過往兩年經營或籌辦成果</w:t>
      </w:r>
    </w:p>
    <w:p w14:paraId="5F7C0639" w14:textId="77777777" w:rsidR="00F012BB" w:rsidRDefault="00000000">
      <w:pPr>
        <w:pStyle w:val="a8"/>
        <w:numPr>
          <w:ilvl w:val="0"/>
          <w:numId w:val="41"/>
        </w:numPr>
        <w:snapToGrid w:val="0"/>
        <w:spacing w:line="440" w:lineRule="exact"/>
        <w:ind w:right="1280"/>
      </w:pPr>
      <w:r>
        <w:rPr>
          <w:rFonts w:ascii="Times New Roman" w:eastAsia="標楷體" w:hAnsi="Times New Roman" w:cs="Times New Roman"/>
          <w:b/>
          <w:sz w:val="32"/>
          <w:szCs w:val="32"/>
        </w:rPr>
        <w:t>營運目標：台灣職業籃球聯賽總冠軍</w:t>
      </w:r>
    </w:p>
    <w:p w14:paraId="3407A7D4" w14:textId="77777777" w:rsidR="00F012BB" w:rsidRDefault="00000000">
      <w:pPr>
        <w:pStyle w:val="a8"/>
        <w:snapToGrid w:val="0"/>
        <w:spacing w:line="440" w:lineRule="exact"/>
        <w:ind w:left="1321"/>
        <w:jc w:val="both"/>
      </w:pPr>
      <w:r>
        <w:rPr>
          <w:rFonts w:ascii="Times New Roman" w:eastAsia="標楷體" w:hAnsi="Times New Roman" w:cs="Times New Roman"/>
          <w:bCs/>
          <w:sz w:val="32"/>
          <w:szCs w:val="32"/>
        </w:rPr>
        <w:t>於</w:t>
      </w:r>
      <w:r>
        <w:rPr>
          <w:rFonts w:ascii="Times New Roman" w:eastAsia="標楷體" w:hAnsi="Times New Roman" w:cs="Times New Roman"/>
          <w:bCs/>
          <w:sz w:val="32"/>
          <w:szCs w:val="32"/>
        </w:rPr>
        <w:t>109</w:t>
      </w:r>
      <w:r>
        <w:rPr>
          <w:rFonts w:ascii="Times New Roman" w:eastAsia="標楷體" w:hAnsi="Times New Roman" w:cs="Times New Roman"/>
          <w:bCs/>
          <w:sz w:val="32"/>
          <w:szCs w:val="32"/>
        </w:rPr>
        <w:t>年及</w:t>
      </w:r>
      <w:proofErr w:type="gramStart"/>
      <w:r>
        <w:rPr>
          <w:rFonts w:ascii="Times New Roman" w:eastAsia="標楷體" w:hAnsi="Times New Roman" w:cs="Times New Roman"/>
          <w:bCs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/>
          <w:bCs/>
          <w:sz w:val="32"/>
          <w:szCs w:val="32"/>
        </w:rPr>
        <w:t>年度分別為聯賽第</w:t>
      </w:r>
      <w:r>
        <w:rPr>
          <w:rFonts w:ascii="Times New Roman" w:eastAsia="標楷體" w:hAnsi="Times New Roman" w:cs="Times New Roman"/>
          <w:bCs/>
          <w:sz w:val="32"/>
          <w:szCs w:val="32"/>
        </w:rPr>
        <w:t>3</w:t>
      </w:r>
      <w:r>
        <w:rPr>
          <w:rFonts w:ascii="Times New Roman" w:eastAsia="標楷體" w:hAnsi="Times New Roman" w:cs="Times New Roman"/>
          <w:bCs/>
          <w:sz w:val="32"/>
          <w:szCs w:val="32"/>
        </w:rPr>
        <w:t>名及第</w:t>
      </w:r>
      <w:r>
        <w:rPr>
          <w:rFonts w:ascii="Times New Roman" w:eastAsia="標楷體" w:hAnsi="Times New Roman" w:cs="Times New Roman"/>
          <w:bCs/>
          <w:sz w:val="32"/>
          <w:szCs w:val="32"/>
        </w:rPr>
        <w:t>2</w:t>
      </w:r>
      <w:r>
        <w:rPr>
          <w:rFonts w:ascii="Times New Roman" w:eastAsia="標楷體" w:hAnsi="Times New Roman" w:cs="Times New Roman"/>
          <w:bCs/>
          <w:sz w:val="32"/>
          <w:szCs w:val="32"/>
        </w:rPr>
        <w:t>名，屢屢締造隊史新猷。展望</w:t>
      </w:r>
      <w:proofErr w:type="gramStart"/>
      <w:r>
        <w:rPr>
          <w:rFonts w:ascii="Times New Roman" w:eastAsia="標楷體" w:hAnsi="Times New Roman" w:cs="Times New Roman"/>
          <w:bCs/>
          <w:sz w:val="32"/>
          <w:szCs w:val="32"/>
        </w:rPr>
        <w:t>111</w:t>
      </w:r>
      <w:proofErr w:type="gramEnd"/>
      <w:r>
        <w:rPr>
          <w:rFonts w:ascii="Times New Roman" w:eastAsia="標楷體" w:hAnsi="Times New Roman" w:cs="Times New Roman"/>
          <w:bCs/>
          <w:sz w:val="32"/>
          <w:szCs w:val="32"/>
        </w:rPr>
        <w:t>年度期待可以拿下總冠軍為營運目標。</w:t>
      </w:r>
    </w:p>
    <w:p w14:paraId="24BE31CE" w14:textId="77777777" w:rsidR="00F012BB" w:rsidRDefault="00000000">
      <w:pPr>
        <w:pStyle w:val="a8"/>
        <w:numPr>
          <w:ilvl w:val="0"/>
          <w:numId w:val="28"/>
        </w:numPr>
        <w:snapToGrid w:val="0"/>
        <w:spacing w:line="440" w:lineRule="exact"/>
        <w:ind w:right="1280"/>
      </w:pPr>
      <w:r>
        <w:rPr>
          <w:rFonts w:ascii="Times New Roman" w:eastAsia="標楷體" w:hAnsi="Times New Roman" w:cs="Times New Roman"/>
          <w:b/>
          <w:sz w:val="32"/>
          <w:szCs w:val="32"/>
        </w:rPr>
        <w:t>量化指標</w:t>
      </w:r>
      <w:r>
        <w:rPr>
          <w:rFonts w:ascii="Times New Roman" w:eastAsia="標楷體" w:hAnsi="Times New Roman" w:cs="Times New Roman"/>
          <w:b/>
          <w:sz w:val="32"/>
          <w:szCs w:val="32"/>
        </w:rPr>
        <w:t>(</w:t>
      </w:r>
      <w:r>
        <w:rPr>
          <w:rFonts w:ascii="Times New Roman" w:eastAsia="標楷體" w:hAnsi="Times New Roman" w:cs="Times New Roman"/>
          <w:b/>
          <w:sz w:val="32"/>
          <w:szCs w:val="32"/>
        </w:rPr>
        <w:t>含經費編列基礎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)                                                                              </w:t>
      </w:r>
    </w:p>
    <w:p w14:paraId="2F8971BF" w14:textId="77777777" w:rsidR="00F012BB" w:rsidRDefault="00000000">
      <w:pPr>
        <w:pStyle w:val="a8"/>
        <w:snapToGrid w:val="0"/>
        <w:spacing w:line="440" w:lineRule="exact"/>
        <w:ind w:left="0"/>
        <w:jc w:val="right"/>
      </w:pPr>
      <w:r>
        <w:rPr>
          <w:rFonts w:ascii="Times New Roman" w:eastAsia="標楷體" w:hAnsi="Times New Roman" w:cs="Times New Roman"/>
          <w:b/>
        </w:rPr>
        <w:t>單位：新台幣元</w:t>
      </w:r>
    </w:p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4919"/>
        <w:gridCol w:w="1057"/>
        <w:gridCol w:w="1684"/>
        <w:gridCol w:w="1702"/>
      </w:tblGrid>
      <w:tr w:rsidR="00F012BB" w14:paraId="6C2C3D0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71EC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指標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33CA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預計</w:t>
            </w:r>
            <w:commentRangeStart w:id="4"/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114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</w:t>
            </w:r>
            <w:commentRangeEnd w:id="4"/>
            <w:r>
              <w:rPr>
                <w:rStyle w:val="af4"/>
              </w:rPr>
              <w:commentReference w:id="4"/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達成目標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AA0C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</w:t>
            </w:r>
            <w:commentRangeStart w:id="5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43C9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</w:t>
            </w:r>
            <w:commentRangeEnd w:id="5"/>
            <w:r>
              <w:rPr>
                <w:rStyle w:val="af4"/>
              </w:rPr>
              <w:commentReference w:id="5"/>
            </w:r>
          </w:p>
        </w:tc>
      </w:tr>
      <w:tr w:rsidR="00F012BB" w14:paraId="66F01546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FD0D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DA21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commentRangeStart w:id="6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說明</w:t>
            </w:r>
            <w:commentRangeEnd w:id="6"/>
            <w:r>
              <w:rPr>
                <w:rFonts w:ascii="Times New Roman" w:eastAsia="標楷體" w:hAnsi="Times New Roman" w:cs="Times New Roman"/>
                <w:kern w:val="3"/>
                <w:szCs w:val="22"/>
              </w:rPr>
              <w:commentReference w:id="6"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E7F2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金額</w:t>
            </w: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2573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9468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12BB" w14:paraId="1CFB2EDE" w14:textId="77777777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00D0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比賽日收入</w:t>
            </w:r>
          </w:p>
        </w:tc>
        <w:tc>
          <w:tcPr>
            <w:tcW w:w="4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F1FF" w14:textId="77777777" w:rsidR="00F012BB" w:rsidRDefault="00000000">
            <w:pPr>
              <w:pStyle w:val="a8"/>
              <w:widowControl/>
              <w:numPr>
                <w:ilvl w:val="3"/>
                <w:numId w:val="16"/>
              </w:numPr>
              <w:spacing w:line="400" w:lineRule="exact"/>
              <w:ind w:left="454" w:hanging="425"/>
            </w:pPr>
            <w:commentRangeStart w:id="7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預計舉辦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場，與日本、韓國職業籃球隊交流賽事，吸引進場球迷人數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6,000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人次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門票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每場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。</w:t>
            </w:r>
          </w:p>
          <w:p w14:paraId="49849396" w14:textId="77777777" w:rsidR="00F012BB" w:rsidRDefault="00000000">
            <w:pPr>
              <w:pStyle w:val="a8"/>
              <w:widowControl/>
              <w:numPr>
                <w:ilvl w:val="3"/>
                <w:numId w:val="16"/>
              </w:numPr>
              <w:spacing w:line="400" w:lineRule="exact"/>
              <w:ind w:left="454" w:hanging="425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預計進場球迷人數增加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每場，達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每場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預計球迷進場門票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每場，季後賽門票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每場。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) 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。</w:t>
            </w:r>
            <w:commentRangeEnd w:id="7"/>
            <w:r>
              <w:rPr>
                <w:rFonts w:ascii="Times New Roman" w:eastAsia="標楷體" w:hAnsi="Times New Roman" w:cs="Times New Roman"/>
                <w:kern w:val="3"/>
                <w:szCs w:val="22"/>
              </w:rPr>
              <w:commentReference w:id="7"/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B40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5,000,000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AA18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場主場賽事</w:t>
            </w:r>
          </w:p>
          <w:p w14:paraId="3100444B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C889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16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場主場賽事</w:t>
            </w:r>
          </w:p>
          <w:p w14:paraId="6D42210F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</w:tr>
      <w:tr w:rsidR="00F012BB" w14:paraId="4B5ED963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BC35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3AFC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A799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4817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6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場季後賽</w:t>
            </w:r>
          </w:p>
          <w:p w14:paraId="2CAD53FA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6B73" w14:textId="77777777" w:rsidR="00F012BB" w:rsidRDefault="00000000">
            <w:pPr>
              <w:pStyle w:val="a8"/>
              <w:widowControl/>
              <w:spacing w:line="400" w:lineRule="exact"/>
              <w:ind w:left="0" w:right="-112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6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場季後賽</w:t>
            </w:r>
          </w:p>
          <w:p w14:paraId="69D5D525" w14:textId="77777777" w:rsidR="00F012BB" w:rsidRDefault="00000000">
            <w:pPr>
              <w:pStyle w:val="a8"/>
              <w:widowControl/>
              <w:spacing w:line="400" w:lineRule="exact"/>
              <w:ind w:left="0" w:right="-112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</w:tr>
      <w:tr w:rsidR="00F012BB" w14:paraId="0C6B24C0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88DA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商業收入</w:t>
            </w:r>
          </w:p>
        </w:tc>
        <w:tc>
          <w:tcPr>
            <w:tcW w:w="4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DD87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較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110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年度增加部分商業收入，如贊助商、產品零售及授權及場館營運等收入。</w:t>
            </w:r>
          </w:p>
          <w:p w14:paraId="704B3EB6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  <w:p w14:paraId="11B1AE93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  <w:p w14:paraId="68830AF3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  <w:p w14:paraId="06480C69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BC7D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72,000,000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BE8F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贊助商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6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家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40,000,000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41CD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贊助商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家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30,000,000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</w:tr>
      <w:tr w:rsidR="00F012BB" w14:paraId="02DDD149" w14:textId="7777777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93F9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701A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7B93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FFB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產品零售及授權，達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A843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產品零售及授權，達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2,500,000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</w:tr>
      <w:tr w:rsidR="00F012BB" w14:paraId="5489687D" w14:textId="77777777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80D0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lastRenderedPageBreak/>
              <w:t>轉播收入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743E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較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110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年度增加部分轉播收入，如聯盟分潤、自媒體及海外交流賽事等轉播收入。</w:t>
            </w:r>
          </w:p>
          <w:p w14:paraId="76EC66B5" w14:textId="77777777" w:rsidR="00F012BB" w:rsidRDefault="00F012BB">
            <w:pPr>
              <w:pStyle w:val="a8"/>
              <w:widowControl/>
              <w:spacing w:line="400" w:lineRule="exact"/>
              <w:ind w:left="0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  <w:p w14:paraId="662D1514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8CA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3,400,000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F68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聯盟分配金額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EFF6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聯盟分配金額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</w:t>
            </w:r>
          </w:p>
        </w:tc>
      </w:tr>
      <w:tr w:rsidR="00F012BB" w14:paraId="4374382C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5F20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合計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0EB1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80,400,000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5B65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E2EC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</w:tc>
      </w:tr>
    </w:tbl>
    <w:p w14:paraId="5C9BD1EA" w14:textId="77777777" w:rsidR="00F012BB" w:rsidRDefault="00F012BB">
      <w:pPr>
        <w:pStyle w:val="Standard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0D0E75B" w14:textId="77777777" w:rsidR="00F012BB" w:rsidRDefault="00000000">
      <w:pPr>
        <w:pStyle w:val="a8"/>
        <w:numPr>
          <w:ilvl w:val="0"/>
          <w:numId w:val="28"/>
        </w:numPr>
        <w:snapToGrid w:val="0"/>
        <w:spacing w:line="440" w:lineRule="exact"/>
        <w:ind w:right="1280"/>
      </w:pPr>
      <w:r>
        <w:rPr>
          <w:rFonts w:ascii="Times New Roman" w:eastAsia="標楷體" w:hAnsi="Times New Roman" w:cs="Times New Roman"/>
          <w:b/>
          <w:sz w:val="32"/>
          <w:szCs w:val="32"/>
        </w:rPr>
        <w:t>預計提升規劃及使用用途</w:t>
      </w:r>
    </w:p>
    <w:p w14:paraId="494876BC" w14:textId="77777777" w:rsidR="00F012BB" w:rsidRDefault="00000000">
      <w:pPr>
        <w:pStyle w:val="a8"/>
        <w:snapToGrid w:val="0"/>
        <w:spacing w:line="440" w:lineRule="exact"/>
        <w:ind w:left="0"/>
        <w:jc w:val="right"/>
      </w:pPr>
      <w:r>
        <w:rPr>
          <w:rFonts w:ascii="Times New Roman" w:eastAsia="標楷體" w:hAnsi="Times New Roman" w:cs="Times New Roman"/>
          <w:b/>
        </w:rPr>
        <w:t>單位：新台幣元</w:t>
      </w: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4253"/>
        <w:gridCol w:w="1323"/>
        <w:gridCol w:w="1323"/>
        <w:gridCol w:w="1324"/>
      </w:tblGrid>
      <w:tr w:rsidR="00F012BB" w14:paraId="2026FC7E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DA9E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用途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D4D0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說明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FB51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111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年度預算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1E67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364D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</w:t>
            </w:r>
            <w:commentRangeStart w:id="8"/>
            <w:commentRangeEnd w:id="8"/>
            <w:r>
              <w:rPr>
                <w:rStyle w:val="af4"/>
              </w:rPr>
              <w:commentReference w:id="8"/>
            </w:r>
          </w:p>
        </w:tc>
      </w:tr>
      <w:tr w:rsidR="00F012BB" w14:paraId="6D598DED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436B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籃球隊隊員薪資、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勞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健保、退休基金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2AF3" w14:textId="77777777" w:rsidR="00F012BB" w:rsidRDefault="00000000">
            <w:pPr>
              <w:pStyle w:val="a8"/>
              <w:widowControl/>
              <w:numPr>
                <w:ilvl w:val="0"/>
                <w:numId w:val="22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新聘日本球員、美國球員共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名，增加支出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12,000,000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44A08644" w14:textId="77777777" w:rsidR="00F012BB" w:rsidRDefault="00000000">
            <w:pPr>
              <w:pStyle w:val="a8"/>
              <w:widowControl/>
              <w:numPr>
                <w:ilvl w:val="0"/>
                <w:numId w:val="22"/>
              </w:numPr>
              <w:spacing w:line="400" w:lineRule="exact"/>
              <w:ind w:left="314" w:right="-108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本土球員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42,000,000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BE4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54,000,000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D436" w14:textId="77777777" w:rsidR="00F012BB" w:rsidRDefault="00000000">
            <w:pPr>
              <w:pStyle w:val="a8"/>
              <w:widowControl/>
              <w:spacing w:line="400" w:lineRule="exact"/>
              <w:ind w:left="0" w:right="-65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球員共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50,000,000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EA98" w14:textId="77777777" w:rsidR="00F012BB" w:rsidRDefault="00000000">
            <w:pPr>
              <w:pStyle w:val="a8"/>
              <w:widowControl/>
              <w:spacing w:line="400" w:lineRule="exact"/>
              <w:ind w:left="0" w:right="-65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球員共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48,000,000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</w:tc>
      </w:tr>
      <w:tr w:rsidR="00F012BB" w14:paraId="71738FF6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AC98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教練費用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017C" w14:textId="77777777" w:rsidR="00F012BB" w:rsidRDefault="00000000">
            <w:pPr>
              <w:pStyle w:val="a8"/>
              <w:widowControl/>
              <w:numPr>
                <w:ilvl w:val="0"/>
                <w:numId w:val="23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聯賽教練團隊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10,000,000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779DC9B6" w14:textId="77777777" w:rsidR="00F012BB" w:rsidRDefault="00000000">
            <w:pPr>
              <w:pStyle w:val="a8"/>
              <w:widowControl/>
              <w:numPr>
                <w:ilvl w:val="0"/>
                <w:numId w:val="23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學生球迷養成推廣教練團隊，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9,000,000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7B5038E2" w14:textId="77777777" w:rsidR="00F012BB" w:rsidRDefault="00000000">
            <w:pPr>
              <w:pStyle w:val="a8"/>
              <w:widowControl/>
              <w:numPr>
                <w:ilvl w:val="0"/>
                <w:numId w:val="23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體能教練團隊、心理諮商師團隊、運動防護員，共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4,800,000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3A59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23,800,000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5919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23,000,000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FC16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20,000,000</w:t>
            </w:r>
          </w:p>
        </w:tc>
      </w:tr>
      <w:tr w:rsidR="00F012BB" w14:paraId="45141138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C481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商業部門活動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77AE" w14:textId="77777777" w:rsidR="00F012BB" w:rsidRDefault="00000000">
            <w:pPr>
              <w:pStyle w:val="a8"/>
              <w:widowControl/>
              <w:numPr>
                <w:ilvl w:val="0"/>
                <w:numId w:val="24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部門人員共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6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2C3540ED" w14:textId="77777777" w:rsidR="00F012BB" w:rsidRDefault="00000000">
            <w:pPr>
              <w:pStyle w:val="a8"/>
              <w:widowControl/>
              <w:numPr>
                <w:ilvl w:val="0"/>
                <w:numId w:val="24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贊助活動洽談及舉辦活動經費支出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1208A189" w14:textId="77777777" w:rsidR="00F012BB" w:rsidRDefault="00000000">
            <w:pPr>
              <w:pStyle w:val="a8"/>
              <w:widowControl/>
              <w:numPr>
                <w:ilvl w:val="0"/>
                <w:numId w:val="24"/>
              </w:numPr>
              <w:spacing w:line="400" w:lineRule="exact"/>
              <w:ind w:left="314" w:hanging="314"/>
            </w:pP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場館維運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經費支出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CBA6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8,000,000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9911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3,600,000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B18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3,300,000</w:t>
            </w:r>
          </w:p>
        </w:tc>
      </w:tr>
      <w:tr w:rsidR="00F012BB" w14:paraId="0084C2ED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6198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媒體部門活動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CC4D" w14:textId="77777777" w:rsidR="00F012BB" w:rsidRDefault="00000000">
            <w:pPr>
              <w:pStyle w:val="a8"/>
              <w:widowControl/>
              <w:numPr>
                <w:ilvl w:val="0"/>
                <w:numId w:val="25"/>
              </w:numPr>
              <w:spacing w:line="400" w:lineRule="exact"/>
              <w:ind w:left="314" w:hanging="283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部門人員共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3,600,000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7EF375C5" w14:textId="77777777" w:rsidR="00F012BB" w:rsidRDefault="00000000">
            <w:pPr>
              <w:pStyle w:val="a8"/>
              <w:widowControl/>
              <w:numPr>
                <w:ilvl w:val="0"/>
                <w:numId w:val="25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轉播器材費用支出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5CF9F190" w14:textId="77777777" w:rsidR="00F012BB" w:rsidRDefault="00000000">
            <w:pPr>
              <w:pStyle w:val="a8"/>
              <w:widowControl/>
              <w:numPr>
                <w:ilvl w:val="0"/>
                <w:numId w:val="25"/>
              </w:numPr>
              <w:spacing w:line="400" w:lineRule="exact"/>
              <w:ind w:left="314" w:hanging="314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網站營運費用支出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09D6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4,000,000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3F7D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3,800,000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9C37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3,800,000</w:t>
            </w:r>
          </w:p>
        </w:tc>
      </w:tr>
      <w:tr w:rsidR="00F012BB" w14:paraId="3E28D603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A284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lastRenderedPageBreak/>
              <w:t>行政部門活動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6012" w14:textId="77777777" w:rsidR="00F012BB" w:rsidRDefault="00000000">
            <w:pPr>
              <w:pStyle w:val="a8"/>
              <w:widowControl/>
              <w:numPr>
                <w:ilvl w:val="0"/>
                <w:numId w:val="26"/>
              </w:numPr>
              <w:spacing w:line="400" w:lineRule="exact"/>
              <w:ind w:left="314" w:hanging="283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總經理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284367C5" w14:textId="77777777" w:rsidR="00F012BB" w:rsidRDefault="00000000">
            <w:pPr>
              <w:pStyle w:val="a8"/>
              <w:widowControl/>
              <w:numPr>
                <w:ilvl w:val="0"/>
                <w:numId w:val="26"/>
              </w:numPr>
              <w:spacing w:line="400" w:lineRule="exact"/>
              <w:ind w:left="314" w:hanging="283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部門人員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名，支出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2,400,000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3CF0BABF" w14:textId="77777777" w:rsidR="00F012BB" w:rsidRDefault="00000000">
            <w:pPr>
              <w:pStyle w:val="a8"/>
              <w:widowControl/>
              <w:numPr>
                <w:ilvl w:val="0"/>
                <w:numId w:val="26"/>
              </w:numPr>
              <w:spacing w:line="400" w:lineRule="exact"/>
              <w:ind w:left="314" w:hanging="283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學生球迷養成推廣活動規劃支出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1,500,000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7A39047B" w14:textId="77777777" w:rsidR="00F012BB" w:rsidRDefault="00000000">
            <w:pPr>
              <w:pStyle w:val="a8"/>
              <w:widowControl/>
              <w:numPr>
                <w:ilvl w:val="0"/>
                <w:numId w:val="26"/>
              </w:numPr>
              <w:spacing w:line="400" w:lineRule="exact"/>
              <w:ind w:left="314" w:hanging="283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跨國賽事舉辦費用支出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1,500,000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  <w:p w14:paraId="786DCD61" w14:textId="77777777" w:rsidR="00F012BB" w:rsidRDefault="00000000">
            <w:pPr>
              <w:pStyle w:val="a8"/>
              <w:widowControl/>
              <w:numPr>
                <w:ilvl w:val="0"/>
                <w:numId w:val="26"/>
              </w:numPr>
              <w:spacing w:line="400" w:lineRule="exact"/>
              <w:ind w:left="314" w:hanging="283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報名聯賽支出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1,000,000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元。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F541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7,400,000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9190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5,000,000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7B5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5,100,000</w:t>
            </w:r>
          </w:p>
        </w:tc>
      </w:tr>
    </w:tbl>
    <w:p w14:paraId="3FA70349" w14:textId="77777777" w:rsidR="00F012BB" w:rsidRDefault="00000000">
      <w:pPr>
        <w:pStyle w:val="Standard"/>
        <w:spacing w:line="440" w:lineRule="exact"/>
        <w:ind w:right="-240"/>
      </w:pPr>
      <w:proofErr w:type="gramStart"/>
      <w:r>
        <w:rPr>
          <w:rFonts w:ascii="Times New Roman" w:eastAsia="標楷體" w:hAnsi="Times New Roman" w:cs="Times New Roman"/>
          <w:sz w:val="28"/>
          <w:szCs w:val="32"/>
        </w:rPr>
        <w:t>註</w:t>
      </w:r>
      <w:proofErr w:type="gramEnd"/>
      <w:r>
        <w:rPr>
          <w:rFonts w:ascii="Times New Roman" w:eastAsia="標楷體" w:hAnsi="Times New Roman" w:cs="Times New Roman"/>
          <w:sz w:val="28"/>
          <w:szCs w:val="32"/>
        </w:rPr>
        <w:t>:</w:t>
      </w:r>
      <w:proofErr w:type="gramStart"/>
      <w:r>
        <w:rPr>
          <w:rFonts w:ascii="Times New Roman" w:eastAsia="標楷體" w:hAnsi="Times New Roman" w:cs="Times New Roman"/>
          <w:sz w:val="28"/>
        </w:rPr>
        <w:t>109</w:t>
      </w:r>
      <w:proofErr w:type="gramEnd"/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  <w:szCs w:val="32"/>
        </w:rPr>
        <w:t>度、</w:t>
      </w:r>
      <w:proofErr w:type="gramStart"/>
      <w:r>
        <w:rPr>
          <w:rFonts w:ascii="Times New Roman" w:eastAsia="標楷體" w:hAnsi="Times New Roman" w:cs="Times New Roman"/>
          <w:sz w:val="28"/>
        </w:rPr>
        <w:t>110</w:t>
      </w:r>
      <w:proofErr w:type="gramEnd"/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  <w:szCs w:val="32"/>
        </w:rPr>
        <w:t>度實際收支狀況之決算報表</w:t>
      </w:r>
      <w:r>
        <w:rPr>
          <w:rFonts w:ascii="Times New Roman" w:eastAsia="標楷體" w:hAnsi="Times New Roman" w:cs="Times New Roman"/>
          <w:sz w:val="28"/>
          <w:szCs w:val="32"/>
        </w:rPr>
        <w:t>(</w:t>
      </w:r>
      <w:proofErr w:type="gramStart"/>
      <w:r>
        <w:rPr>
          <w:rFonts w:ascii="Times New Roman" w:eastAsia="標楷體" w:hAnsi="Times New Roman" w:cs="Times New Roman"/>
          <w:sz w:val="28"/>
          <w:szCs w:val="32"/>
        </w:rPr>
        <w:t>含上表</w:t>
      </w:r>
      <w:proofErr w:type="gramEnd"/>
      <w:r>
        <w:rPr>
          <w:rFonts w:ascii="Times New Roman" w:eastAsia="標楷體" w:hAnsi="Times New Roman" w:cs="Times New Roman"/>
          <w:sz w:val="28"/>
          <w:szCs w:val="32"/>
        </w:rPr>
        <w:t>收入支出</w:t>
      </w:r>
      <w:r>
        <w:rPr>
          <w:rFonts w:ascii="Times New Roman" w:eastAsia="標楷體" w:hAnsi="Times New Roman" w:cs="Times New Roman"/>
          <w:sz w:val="28"/>
          <w:szCs w:val="32"/>
        </w:rPr>
        <w:t>)</w:t>
      </w:r>
      <w:r>
        <w:rPr>
          <w:rFonts w:ascii="Times New Roman" w:eastAsia="標楷體" w:hAnsi="Times New Roman" w:cs="Times New Roman"/>
          <w:sz w:val="28"/>
          <w:szCs w:val="32"/>
        </w:rPr>
        <w:t>如附件</w:t>
      </w:r>
      <w:r>
        <w:rPr>
          <w:rFonts w:ascii="Times New Roman" w:eastAsia="標楷體" w:hAnsi="Times New Roman" w:cs="Times New Roman"/>
          <w:sz w:val="28"/>
          <w:szCs w:val="32"/>
        </w:rPr>
        <w:t>1</w:t>
      </w:r>
      <w:r>
        <w:rPr>
          <w:rFonts w:ascii="Times New Roman" w:eastAsia="標楷體" w:hAnsi="Times New Roman" w:cs="Times New Roman"/>
          <w:sz w:val="28"/>
          <w:szCs w:val="32"/>
        </w:rPr>
        <w:t>、</w:t>
      </w:r>
      <w:r>
        <w:rPr>
          <w:rFonts w:ascii="Times New Roman" w:eastAsia="標楷體" w:hAnsi="Times New Roman" w:cs="Times New Roman"/>
          <w:sz w:val="28"/>
          <w:szCs w:val="32"/>
        </w:rPr>
        <w:t>2</w:t>
      </w:r>
      <w:r>
        <w:rPr>
          <w:rFonts w:ascii="Times New Roman" w:eastAsia="標楷體" w:hAnsi="Times New Roman" w:cs="Times New Roman"/>
          <w:sz w:val="28"/>
          <w:szCs w:val="32"/>
        </w:rPr>
        <w:t>。</w:t>
      </w:r>
    </w:p>
    <w:p w14:paraId="0535EB54" w14:textId="77777777" w:rsidR="00F012BB" w:rsidRDefault="00F012BB">
      <w:pPr>
        <w:pStyle w:val="Standard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091A6E6" w14:textId="77777777" w:rsidR="00F012BB" w:rsidRDefault="00000000">
      <w:pPr>
        <w:pStyle w:val="Standard"/>
        <w:snapToGrid w:val="0"/>
        <w:spacing w:line="480" w:lineRule="exact"/>
        <w:ind w:left="720"/>
      </w:pPr>
      <w:r>
        <w:rPr>
          <w:rFonts w:ascii="Times New Roman" w:eastAsia="標楷體" w:hAnsi="Times New Roman" w:cs="Times New Roman"/>
          <w:b/>
          <w:sz w:val="32"/>
          <w:szCs w:val="32"/>
        </w:rPr>
        <w:t>(</w:t>
      </w:r>
      <w:r>
        <w:rPr>
          <w:rFonts w:ascii="Times New Roman" w:eastAsia="標楷體" w:hAnsi="Times New Roman" w:cs="Times New Roman"/>
          <w:b/>
          <w:sz w:val="32"/>
          <w:szCs w:val="32"/>
        </w:rPr>
        <w:t>四</w:t>
      </w:r>
      <w:r>
        <w:rPr>
          <w:rFonts w:ascii="Times New Roman" w:eastAsia="標楷體" w:hAnsi="Times New Roman" w:cs="Times New Roman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sz w:val="32"/>
          <w:szCs w:val="32"/>
        </w:rPr>
        <w:t>經費預算表</w:t>
      </w:r>
    </w:p>
    <w:p w14:paraId="6EBC6D90" w14:textId="77777777" w:rsidR="00F012BB" w:rsidRDefault="00000000">
      <w:pPr>
        <w:pStyle w:val="Standard"/>
        <w:jc w:val="right"/>
      </w:pPr>
      <w:r>
        <w:rPr>
          <w:rFonts w:ascii="Times New Roman" w:eastAsia="標楷體" w:hAnsi="Times New Roman" w:cs="Times New Roman"/>
          <w:b/>
        </w:rPr>
        <w:t>單位：新台幣元</w:t>
      </w:r>
    </w:p>
    <w:tbl>
      <w:tblPr>
        <w:tblW w:w="1030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847"/>
        <w:gridCol w:w="1917"/>
        <w:gridCol w:w="1917"/>
        <w:gridCol w:w="1918"/>
      </w:tblGrid>
      <w:tr w:rsidR="00F012BB" w14:paraId="3041BC5F" w14:textId="77777777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2D5E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會計項目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3E7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摘要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75A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proofErr w:type="gramStart"/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111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年度預算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BBFB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33E5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前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年度</w:t>
            </w:r>
            <w:commentRangeStart w:id="9"/>
            <w:commentRangeEnd w:id="9"/>
            <w:r>
              <w:rPr>
                <w:rStyle w:val="af4"/>
              </w:rPr>
              <w:commentReference w:id="9"/>
            </w:r>
          </w:p>
        </w:tc>
      </w:tr>
      <w:tr w:rsidR="00F012BB" w14:paraId="7A3E6036" w14:textId="77777777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5CBB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5212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31BC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金額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F827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金額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B793" w14:textId="77777777" w:rsidR="00F012BB" w:rsidRDefault="00000000">
            <w:pPr>
              <w:pStyle w:val="a8"/>
              <w:widowControl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金額</w:t>
            </w:r>
          </w:p>
        </w:tc>
      </w:tr>
      <w:tr w:rsidR="00F012BB" w14:paraId="1CFF09D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E157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比賽日收入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BD6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主場賽事收入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F36F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5,000,000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8FC3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3,000,000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0CA6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2,000,000</w:t>
            </w:r>
          </w:p>
        </w:tc>
      </w:tr>
      <w:tr w:rsidR="00F012BB" w14:paraId="69F478C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F052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6ADC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季後賽收入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3126" w14:textId="77777777" w:rsidR="00F012BB" w:rsidRDefault="00F012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2D42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1,000,000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2E7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1,000,000</w:t>
            </w:r>
          </w:p>
        </w:tc>
      </w:tr>
      <w:tr w:rsidR="00F012BB" w14:paraId="6B5ABF6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594A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商業收入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5FA6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贊助商收入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2F22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58,000,000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FE4C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40,000,000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865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30,000,000</w:t>
            </w:r>
          </w:p>
        </w:tc>
      </w:tr>
      <w:tr w:rsidR="00F012BB" w14:paraId="432E9E9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CAE8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DCC0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產品零售及授權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B3FB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4,000,000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4BF9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3,000,000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543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2,500,000</w:t>
            </w:r>
          </w:p>
        </w:tc>
      </w:tr>
      <w:tr w:rsidR="00F012BB" w14:paraId="29872F5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1A44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A11B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場館營運收入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7323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10,000,000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AF99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6F08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-</w:t>
            </w:r>
          </w:p>
        </w:tc>
      </w:tr>
      <w:tr w:rsidR="00F012BB" w14:paraId="13B78DF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079A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轉播收入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8778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聯盟分配收入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EF57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DA44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1,000,000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0758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1,000,000</w:t>
            </w:r>
          </w:p>
        </w:tc>
      </w:tr>
      <w:tr w:rsidR="00F012BB" w14:paraId="44D3726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06A5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925A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自媒體轉播收入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5931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400,000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861E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F427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-</w:t>
            </w:r>
          </w:p>
        </w:tc>
      </w:tr>
      <w:tr w:rsidR="00F012BB" w14:paraId="191A88F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CB61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5301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新辦賽事轉播收入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367D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2,000,000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2D2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1A65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-</w:t>
            </w:r>
          </w:p>
        </w:tc>
      </w:tr>
      <w:tr w:rsidR="00F012BB" w14:paraId="01726AE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DB6D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32"/>
              </w:rPr>
              <w:t>小計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C10F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80,400,000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3BD6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48,000,000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3CFC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36,500,000</w:t>
            </w:r>
          </w:p>
        </w:tc>
      </w:tr>
      <w:tr w:rsidR="00F012BB" w14:paraId="0EA37B1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5870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人事費用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8F97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外籍球員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_2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5D19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12,000,000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63FA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50,000,000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78E3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48,000,000</w:t>
            </w:r>
          </w:p>
        </w:tc>
      </w:tr>
      <w:tr w:rsidR="00F012BB" w14:paraId="4D9EFFB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57BB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7F1E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本土球員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_13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881A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42,000,000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1DFE" w14:textId="77777777" w:rsidR="00F012BB" w:rsidRDefault="00F012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7D3A" w14:textId="77777777" w:rsidR="00F012BB" w:rsidRDefault="00F012BB">
            <w:pPr>
              <w:rPr>
                <w:rFonts w:ascii="標楷體" w:eastAsia="標楷體" w:hAnsi="標楷體" w:cs="Times New Roman"/>
              </w:rPr>
            </w:pPr>
          </w:p>
        </w:tc>
      </w:tr>
      <w:tr w:rsidR="00F012BB" w14:paraId="4161C26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2EE1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6E8A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教練費用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_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聯賽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8731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10,000,000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1B39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23,000,000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2AE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20,000,000</w:t>
            </w:r>
          </w:p>
        </w:tc>
      </w:tr>
      <w:tr w:rsidR="00F012BB" w14:paraId="6147EDB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D05E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9604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教練費用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_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學生球迷養成推廣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F88F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9,000,000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6F60" w14:textId="77777777" w:rsidR="00F012BB" w:rsidRDefault="00F012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7F27" w14:textId="77777777" w:rsidR="00F012BB" w:rsidRDefault="00F012BB">
            <w:pPr>
              <w:rPr>
                <w:rFonts w:ascii="標楷體" w:eastAsia="標楷體" w:hAnsi="標楷體" w:cs="Times New Roman"/>
              </w:rPr>
            </w:pPr>
          </w:p>
        </w:tc>
      </w:tr>
      <w:tr w:rsidR="00F012BB" w14:paraId="73B2286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14B9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C55D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教練費用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_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體能團隊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578D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4,800,000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A319" w14:textId="77777777" w:rsidR="00F012BB" w:rsidRDefault="00F012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DEFB" w14:textId="77777777" w:rsidR="00F012BB" w:rsidRDefault="00F012BB">
            <w:pPr>
              <w:rPr>
                <w:rFonts w:ascii="標楷體" w:eastAsia="標楷體" w:hAnsi="標楷體" w:cs="Times New Roman"/>
              </w:rPr>
            </w:pPr>
          </w:p>
        </w:tc>
      </w:tr>
      <w:tr w:rsidR="00F012BB" w14:paraId="0A0B57D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2D32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A41D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商業部門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DB47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1E9D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557D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36A925F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3B6D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B584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媒體部門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589A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3,600,000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E901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BC21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036EE30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393F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F3A9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行政部門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8911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 xml:space="preserve"> 3,400,000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0F97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F976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11FAA7F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8877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事務費用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1FE9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媒體部門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_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轉播器材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0FF4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200,000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31A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B6E1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1622B1B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5FA1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7B3A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媒體部門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_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網站營運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54CF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200,000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0A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484E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10DF7DB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FACC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2FDD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洽談及舉辦贊助活動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FD43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D43A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633A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28B6FF5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A08E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67EF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場館維運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1CD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4,000,000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0041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B2F4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79634CB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E8D4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活動支出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CB48" w14:textId="77777777" w:rsidR="00F012BB" w:rsidRDefault="00000000">
            <w:pPr>
              <w:pStyle w:val="a8"/>
              <w:widowControl/>
              <w:spacing w:line="400" w:lineRule="exact"/>
              <w:ind w:left="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學生球迷養成推廣活動規劃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60D3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1,500,000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4610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8B42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4A3FE85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542E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4AF1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跨國賽事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DE7C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1,500,000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1A35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30F4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45792AD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3A6F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6C38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報名聯賽支出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8D83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1,000,000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CD61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E692" w14:textId="77777777" w:rsidR="00F012BB" w:rsidRDefault="00F012BB">
            <w:pPr>
              <w:pStyle w:val="a8"/>
              <w:widowControl/>
              <w:spacing w:line="400" w:lineRule="exact"/>
              <w:ind w:left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</w:tr>
      <w:tr w:rsidR="00F012BB" w14:paraId="4B8C622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0545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商業部門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0460" w14:textId="77777777" w:rsidR="00F012BB" w:rsidRDefault="00F012BB">
            <w:pPr>
              <w:pStyle w:val="a8"/>
              <w:widowControl/>
              <w:spacing w:line="400" w:lineRule="exact"/>
              <w:ind w:left="280" w:hanging="280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CEAF" w14:textId="77777777" w:rsidR="00F012BB" w:rsidRDefault="00F012BB">
            <w:pPr>
              <w:pStyle w:val="a8"/>
              <w:widowControl/>
              <w:spacing w:line="400" w:lineRule="exact"/>
              <w:ind w:left="280" w:hanging="28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FA7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3,600,000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BBB3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3,300,000</w:t>
            </w:r>
          </w:p>
        </w:tc>
      </w:tr>
      <w:tr w:rsidR="00F012BB" w14:paraId="6C00F04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08E7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媒體部門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6B5E" w14:textId="77777777" w:rsidR="00F012BB" w:rsidRDefault="00F012BB">
            <w:pPr>
              <w:pStyle w:val="a8"/>
              <w:widowControl/>
              <w:spacing w:line="400" w:lineRule="exact"/>
              <w:ind w:left="280" w:hanging="280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F31B" w14:textId="77777777" w:rsidR="00F012BB" w:rsidRDefault="00F012BB">
            <w:pPr>
              <w:pStyle w:val="a8"/>
              <w:widowControl/>
              <w:spacing w:line="400" w:lineRule="exact"/>
              <w:ind w:left="280" w:hanging="28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133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3,800,000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39D2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3,800,000</w:t>
            </w:r>
          </w:p>
        </w:tc>
      </w:tr>
      <w:tr w:rsidR="00F012BB" w14:paraId="62572CD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961A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行政部門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5A34" w14:textId="77777777" w:rsidR="00F012BB" w:rsidRDefault="00F012BB">
            <w:pPr>
              <w:pStyle w:val="a8"/>
              <w:widowControl/>
              <w:spacing w:line="400" w:lineRule="exact"/>
              <w:ind w:left="280" w:hanging="280"/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7959" w14:textId="77777777" w:rsidR="00F012BB" w:rsidRDefault="00F012BB">
            <w:pPr>
              <w:pStyle w:val="a8"/>
              <w:widowControl/>
              <w:spacing w:line="400" w:lineRule="exact"/>
              <w:ind w:left="280" w:hanging="280"/>
              <w:jc w:val="right"/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19EE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5,000,000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AE0F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32"/>
              </w:rPr>
              <w:t>5,100,000</w:t>
            </w:r>
          </w:p>
        </w:tc>
      </w:tr>
      <w:tr w:rsidR="00F012BB" w14:paraId="1CF67B8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570B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32"/>
              </w:rPr>
              <w:t>小計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2A44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97,200,000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7AC5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85,400,000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D260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80,200,000</w:t>
            </w:r>
          </w:p>
        </w:tc>
      </w:tr>
      <w:tr w:rsidR="00F012BB" w14:paraId="1C64FF3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9F6C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32"/>
              </w:rPr>
              <w:t>本期盈餘</w:t>
            </w:r>
            <w:r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32"/>
              </w:rPr>
              <w:t>虧損</w:t>
            </w:r>
            <w:r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32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CBD8" w14:textId="77777777" w:rsidR="00F012BB" w:rsidRDefault="00000000">
            <w:pPr>
              <w:pStyle w:val="a8"/>
              <w:widowControl/>
              <w:spacing w:line="400" w:lineRule="exact"/>
              <w:ind w:left="280" w:hanging="28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(16,800,000)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26F7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(37,400,000)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9131" w14:textId="77777777" w:rsidR="00F012BB" w:rsidRDefault="00000000">
            <w:pPr>
              <w:pStyle w:val="a8"/>
              <w:widowControl/>
              <w:spacing w:line="400" w:lineRule="exact"/>
              <w:ind w:left="0"/>
              <w:jc w:val="right"/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32"/>
              </w:rPr>
              <w:t>(43,700,000)</w:t>
            </w:r>
          </w:p>
        </w:tc>
      </w:tr>
    </w:tbl>
    <w:p w14:paraId="69A07324" w14:textId="77777777" w:rsidR="00F012BB" w:rsidRDefault="00F012BB">
      <w:pPr>
        <w:pStyle w:val="Standard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B6E1DD2" w14:textId="77777777" w:rsidR="00F012BB" w:rsidRDefault="00000000">
      <w:pPr>
        <w:pStyle w:val="a8"/>
        <w:numPr>
          <w:ilvl w:val="0"/>
          <w:numId w:val="5"/>
        </w:numPr>
        <w:spacing w:line="440" w:lineRule="exact"/>
      </w:pPr>
      <w:r>
        <w:rPr>
          <w:rFonts w:ascii="Times New Roman" w:eastAsia="標楷體" w:hAnsi="Times New Roman" w:cs="Times New Roman"/>
          <w:b/>
          <w:sz w:val="32"/>
          <w:szCs w:val="32"/>
        </w:rPr>
        <w:t>計畫實施時間、地點、方式及內容</w:t>
      </w:r>
    </w:p>
    <w:p w14:paraId="5A7AD0C9" w14:textId="77777777" w:rsidR="00F012BB" w:rsidRDefault="00000000">
      <w:pPr>
        <w:pStyle w:val="Standard"/>
        <w:spacing w:line="440" w:lineRule="exact"/>
        <w:ind w:firstLine="560"/>
      </w:pPr>
      <w:r>
        <w:rPr>
          <w:rFonts w:ascii="Times New Roman" w:eastAsia="標楷體" w:hAnsi="Times New Roman" w:cs="Times New Roman"/>
          <w:sz w:val="28"/>
          <w:szCs w:val="28"/>
        </w:rPr>
        <w:t>本計畫以提升球隊競爭力為主，輔以學生球迷養成推廣活動、人才培育、增加球迷基數、提高國內及國際能見度、培力選手多元能力，並於必要活動中結合跨領域業者，期能帶動國外旅客來台觀光。其中經費需求以球員薪資、學生球迷養成推廣活動為最主要支出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爰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擬透過教育部專戶支應部分球員薪資、學生球迷養成推廣活動辦理經費與該活動教練支出，總申請經費為</w:t>
      </w:r>
      <w:r>
        <w:rPr>
          <w:rFonts w:ascii="Times New Roman" w:eastAsia="標楷體" w:hAnsi="Times New Roman" w:cs="Times New Roman"/>
          <w:sz w:val="28"/>
          <w:szCs w:val="28"/>
        </w:rPr>
        <w:t>4,000</w:t>
      </w:r>
      <w:r>
        <w:rPr>
          <w:rFonts w:ascii="Times New Roman" w:eastAsia="標楷體" w:hAnsi="Times New Roman" w:cs="Times New Roman"/>
          <w:sz w:val="28"/>
          <w:szCs w:val="28"/>
        </w:rPr>
        <w:t>萬元。計畫實施內容說明如下：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1134"/>
        <w:gridCol w:w="3545"/>
        <w:gridCol w:w="2977"/>
      </w:tblGrid>
      <w:tr w:rsidR="00F012BB" w14:paraId="1ED5890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A482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E1DF" w14:textId="77777777" w:rsidR="00F012BB" w:rsidRDefault="00000000">
            <w:pPr>
              <w:pStyle w:val="Standard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0F43" w14:textId="77777777" w:rsidR="00F012BB" w:rsidRDefault="00000000">
            <w:pPr>
              <w:pStyle w:val="Standard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地點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62B7" w14:textId="77777777" w:rsidR="00F012BB" w:rsidRDefault="00000000">
            <w:pPr>
              <w:pStyle w:val="Standard"/>
              <w:widowControl/>
              <w:spacing w:line="440" w:lineRule="exact"/>
              <w:jc w:val="center"/>
            </w:pPr>
            <w:commentRangeStart w:id="10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實施方式及內容</w:t>
            </w:r>
            <w:commentRangeEnd w:id="10"/>
            <w:r>
              <w:rPr>
                <w:rFonts w:ascii="Times New Roman" w:eastAsia="標楷體" w:hAnsi="Times New Roman" w:cs="Times New Roman"/>
                <w:kern w:val="3"/>
                <w:szCs w:val="22"/>
              </w:rPr>
              <w:commentReference w:id="10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FD8B" w14:textId="77777777" w:rsidR="00F012BB" w:rsidRDefault="00000000">
            <w:pPr>
              <w:pStyle w:val="Standard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預期效益</w:t>
            </w:r>
          </w:p>
        </w:tc>
      </w:tr>
      <w:tr w:rsidR="00F012BB" w14:paraId="30D461E8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889F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強化球員戰力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DC49" w14:textId="77777777" w:rsidR="00F012BB" w:rsidRDefault="00000000">
            <w:pPr>
              <w:pStyle w:val="Standard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1-12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898E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主場館、</w:t>
            </w:r>
          </w:p>
          <w:p w14:paraId="7057D1EE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訓練場地及競賽場地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88A3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透過強化球員戰力，吸引更多球迷進場，提升比賽日收入；提升戰績，增加商業收入：</w:t>
            </w:r>
          </w:p>
          <w:p w14:paraId="2C0FD079" w14:textId="77777777" w:rsidR="00F012BB" w:rsidRDefault="00000000">
            <w:pPr>
              <w:pStyle w:val="a8"/>
              <w:widowControl/>
              <w:numPr>
                <w:ilvl w:val="0"/>
                <w:numId w:val="27"/>
              </w:numPr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新增聘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位外籍球員，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位擁有美國職業籃球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年資歷及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年歐洲聯賽資歷；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位擁有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年日本聯賽資歷。透過外籍球員強化戰力，增加賽事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精彩度，吸引球迷進場。</w:t>
            </w:r>
          </w:p>
          <w:p w14:paraId="75BD8427" w14:textId="77777777" w:rsidR="00F012BB" w:rsidRDefault="00000000">
            <w:pPr>
              <w:pStyle w:val="a8"/>
              <w:widowControl/>
              <w:numPr>
                <w:ilvl w:val="0"/>
                <w:numId w:val="27"/>
              </w:numPr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增加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位本土明星球員，充實隊伍競爭實力。透過明星球員加盟，可增加球隊話題，增加商業贊助洽談。</w:t>
            </w:r>
          </w:p>
          <w:p w14:paraId="0283AFFA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另因本隊伍球員報酬支出為球隊支出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大宗，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除前述新增球員外，尚有替補球員等必要支出，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爰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名球員費用。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BB34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預期可提升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111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年度進場球迷數量，於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111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年度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職業籃球聯賽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中取得冠軍，進而取得明年度參加亞洲籃球冠軍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賽資格，提升明年度轉播金收入，並提升國際曝光度。</w:t>
            </w:r>
          </w:p>
        </w:tc>
      </w:tr>
      <w:tr w:rsidR="00F012BB" w14:paraId="05A254A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CB9C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學生球迷養成推廣活動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00B5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7-12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DBD9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台南、嘉義、高雄等地各級學校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E13C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預計辦理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場，配合體育署政策，辦理學生球迷養成推廣活動，透過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場活動辦理，提升自媒體轉播收入及比賽日收入：</w:t>
            </w:r>
          </w:p>
          <w:p w14:paraId="73FE869F" w14:textId="77777777" w:rsidR="00F012BB" w:rsidRDefault="00000000">
            <w:pPr>
              <w:pStyle w:val="a8"/>
              <w:widowControl/>
              <w:numPr>
                <w:ilvl w:val="0"/>
                <w:numId w:val="36"/>
              </w:numPr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透過行政部門聯繫規劃距離本隊台南主場館交通路程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小時內之各級學校，辦理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42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場推廣活動，估計高雄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(6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場國小、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場國中、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場高中職、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場大專校院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、台南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場國小、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場國中、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場高中職、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場大專校院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及嘉義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(7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場國小、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場國中、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場高中職、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場大專校院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，本活動教練團隊將規劃有趣之遊戲及練習內容，提升參與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意願，並於比賽日開場前或中場休息時間辦理趣味競賽，促進推廣觸及學生進場觀看賽事。</w:t>
            </w:r>
          </w:p>
          <w:p w14:paraId="067F7B13" w14:textId="77777777" w:rsidR="00F012BB" w:rsidRDefault="00000000">
            <w:pPr>
              <w:pStyle w:val="a8"/>
              <w:widowControl/>
              <w:numPr>
                <w:ilvl w:val="0"/>
                <w:numId w:val="36"/>
              </w:numPr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辦理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場學生賽事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含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場總決賽賽事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，共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梯次，每梯次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縣市各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場，晉級者至本隊主場館進行總決賽，並由賽事參與隊伍中，挑選表現優秀者，提供參與本隊青年培訓隊之機會。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3E60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預期於增加進場球迷、本隊自媒體賽事流量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後續將增加與各界廣告商之跨界結合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的同時，善盡企業社會責任，推廣籃球運動，並培育優秀選手，健全台南、嘉義及高雄籃球發展環境。</w:t>
            </w:r>
          </w:p>
          <w:p w14:paraId="3BE2C4BD" w14:textId="77777777" w:rsidR="00F012BB" w:rsidRDefault="00F012BB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F012BB" w14:paraId="585CDE0E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49B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研發運動科學訓練器材及推廣教學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76A7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每周提供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時段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9E10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本隊主場館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AAE5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研發學生、一般民眾及職業球員皆可使用之血流限制訓練儀器，可透過較小功率的訓練組數，提升肌肉適能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研發經費如經費支出表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。</w:t>
            </w:r>
          </w:p>
          <w:p w14:paraId="3B70004A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將該儀器推廣至學校團隊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不限籃球隊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、社區民眾體驗，除回饋在地、增加在地連結外，亦可增加使用者進場觀賽意願，進而提升比賽日收入。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DC57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預期於增加本隊訓練效率、提升競技實力的同時，善盡企業社會責任，提供相關學校團隊、民眾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安全且有效訓練的訓練環境。</w:t>
            </w:r>
          </w:p>
        </w:tc>
      </w:tr>
      <w:tr w:rsidR="00F012BB" w14:paraId="6584F7B5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A0DD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移地訓練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4010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705D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沖繩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95B8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為利宣傳本年度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月舉辦日、韓、台跨國賽事，與旅行社規劃提供沖繩民眾來台旅遊半價優惠，來台北看賽事、到台南深度旅遊。藉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月底至沖繩移地訓練共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周，與日本職業球隊進行友誼賽，以利提升本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隊競技實力，並於移地訓練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期間，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透過當地社區發展協會協助，辦理與當地居民見面會，達訓練與宣傳賽事之目的，另提供當地民眾購買本隊自媒體優惠。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B04C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預期提升本隊舉辦日、韓、台跨國賽事進場球迷、收看轉播球迷之數量，並帶動運動觀光風氣。另於提升本隊於國外知名度同時，增加球員與國際球員交手經驗，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以利準備參與亞洲籃球冠軍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賽。</w:t>
            </w:r>
          </w:p>
          <w:p w14:paraId="14784893" w14:textId="77777777" w:rsidR="00F012BB" w:rsidRDefault="00F012BB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F012BB" w14:paraId="6191AB28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BF75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lastRenderedPageBreak/>
              <w:t>選手退役輔導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CA24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1-12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8A5D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本隊基地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EFF9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配合體育署政策辦理，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於休賽季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辦理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天職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涯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輔導課程，於第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天邀請職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涯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輔導老師，透過實際案例，向選手進行職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涯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發展觀念講解，並透過興趣量表協助選手發現更多可能。並於第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天邀請財務管理講師，向選手宣導財務管理觀念。第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天邀請運動管理業界人士進行職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涯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輔導。第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天，邀請媒體界講師，向選手介紹自媒體觀念、養成相關技巧。第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天，邀請行銷界講師，向選手介紹行銷產品、辦理活動概念，並透過實際練習，引導選手規劃相關活動，並實際落實於移地訓練時與當地居民見面會。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E34B" w14:textId="77777777" w:rsidR="00F012BB" w:rsidRDefault="00000000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配合教育部政策，申請本專戶之職業球隊，除辦理學生球迷養成推廣活動外，還須辦理運動員退役照顧，本隊將以實際行動支持政府政策，預計透過精實之輔導課程，啟發選手於其他領域興趣，培養其他領域能力，期待選手於退役後能繼續為社會奉獻專業能力。</w:t>
            </w:r>
          </w:p>
        </w:tc>
      </w:tr>
    </w:tbl>
    <w:p w14:paraId="2C60017D" w14:textId="77777777" w:rsidR="00F012BB" w:rsidRDefault="00F012BB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A25D7B9" w14:textId="77777777" w:rsidR="00F012BB" w:rsidRDefault="00000000">
      <w:pPr>
        <w:pStyle w:val="a8"/>
        <w:numPr>
          <w:ilvl w:val="0"/>
          <w:numId w:val="29"/>
        </w:num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向教育部申請年度經費需求、用途及請款期程</w:t>
      </w:r>
    </w:p>
    <w:p w14:paraId="18D1C0B5" w14:textId="77777777" w:rsidR="00F012BB" w:rsidRDefault="00000000">
      <w:pPr>
        <w:spacing w:line="440" w:lineRule="exact"/>
      </w:pPr>
      <w:r>
        <w:rPr>
          <w:rFonts w:ascii="Times New Roman" w:eastAsia="標楷體" w:hAnsi="Times New Roman" w:cs="Times New Roman"/>
          <w:b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sz w:val="32"/>
          <w:szCs w:val="32"/>
        </w:rPr>
        <w:t>依本辦法支出用途明列年度經費支出</w:t>
      </w:r>
    </w:p>
    <w:p w14:paraId="41DA93D4" w14:textId="77777777" w:rsidR="00F012BB" w:rsidRDefault="00000000">
      <w:pPr>
        <w:pStyle w:val="a8"/>
        <w:spacing w:line="440" w:lineRule="exact"/>
        <w:ind w:left="720"/>
      </w:pPr>
      <w:r>
        <w:rPr>
          <w:rFonts w:ascii="Times New Roman" w:eastAsia="標楷體" w:hAnsi="Times New Roman" w:cs="Times New Roman"/>
          <w:b/>
          <w:sz w:val="28"/>
          <w:szCs w:val="32"/>
        </w:rPr>
        <w:t>(</w:t>
      </w:r>
      <w:r>
        <w:rPr>
          <w:rFonts w:ascii="Times New Roman" w:eastAsia="標楷體" w:hAnsi="Times New Roman" w:cs="Times New Roman"/>
          <w:b/>
          <w:sz w:val="28"/>
          <w:szCs w:val="32"/>
        </w:rPr>
        <w:t>與本隊第一點財報相關支出項目將有些微出入</w:t>
      </w:r>
      <w:r>
        <w:rPr>
          <w:rFonts w:ascii="Times New Roman" w:eastAsia="標楷體" w:hAnsi="Times New Roman" w:cs="Times New Roman"/>
          <w:b/>
          <w:sz w:val="28"/>
          <w:szCs w:val="32"/>
        </w:rPr>
        <w:t>)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1180"/>
        <w:gridCol w:w="991"/>
        <w:gridCol w:w="1214"/>
        <w:gridCol w:w="3748"/>
      </w:tblGrid>
      <w:tr w:rsidR="00F012BB" w14:paraId="5B5D0452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0F11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lastRenderedPageBreak/>
              <w:t>經費需求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)</w:t>
            </w:r>
          </w:p>
        </w:tc>
      </w:tr>
      <w:tr w:rsidR="00F012BB" w14:paraId="248B95D2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B574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項目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D9B1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小計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17C5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單價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AA73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數量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B500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commentRangeStart w:id="11"/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說明及備註</w:t>
            </w:r>
            <w:commentRangeEnd w:id="11"/>
            <w:r>
              <w:rPr>
                <w:rStyle w:val="af4"/>
                <w:rFonts w:ascii="Times New Roman" w:eastAsia="標楷體" w:hAnsi="Times New Roman" w:cs="Times New Roman"/>
              </w:rPr>
              <w:commentReference w:id="11"/>
            </w:r>
          </w:p>
        </w:tc>
      </w:tr>
      <w:tr w:rsidR="00F012BB" w14:paraId="28D1D6A8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472" w14:textId="77777777" w:rsidR="00F012BB" w:rsidRDefault="00000000">
            <w:pPr>
              <w:pStyle w:val="Standard"/>
              <w:widowControl/>
              <w:spacing w:line="400" w:lineRule="exact"/>
              <w:ind w:left="280" w:hanging="280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1.專門從事運動賽事之選手報酬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2401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54,000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3C36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DB94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8F44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外籍球員共2名，支出12,000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元。本土球員共13名，支出42,000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元。</w:t>
            </w:r>
          </w:p>
        </w:tc>
      </w:tr>
      <w:tr w:rsidR="00F012BB" w14:paraId="3C7B2ABB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B24A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2.教練指導費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90C2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19,000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2E13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99AA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1E3F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聯賽教練團隊共5名，支出共10,000千元。學生球迷養成推廣活動教練團隊共15名，支出共9,000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元。</w:t>
            </w:r>
          </w:p>
        </w:tc>
      </w:tr>
      <w:tr w:rsidR="00F012BB" w14:paraId="3D97DE0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2B96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3.運動科學支援費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09A9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800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F04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9F07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C0B0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血流限制訓練器材</w:t>
            </w:r>
          </w:p>
        </w:tc>
      </w:tr>
      <w:tr w:rsidR="00F012BB" w14:paraId="1F016388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88D2" w14:textId="77777777" w:rsidR="00F012BB" w:rsidRDefault="00F012BB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8993" w14:textId="77777777" w:rsidR="00F012BB" w:rsidRDefault="00F012BB">
            <w:pPr>
              <w:jc w:val="righ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A977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350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04A2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A2DB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研發團隊費用</w:t>
            </w:r>
          </w:p>
        </w:tc>
      </w:tr>
      <w:tr w:rsidR="00F012BB" w14:paraId="34B6A965" w14:textId="77777777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262F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4.運動防護費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A162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4,800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EAF2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FE2F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3AB9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體能教練團隊、心理諮商師團隊、運動防護員共5名，支出共4,800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元，含人事及防護用品支出</w:t>
            </w:r>
          </w:p>
        </w:tc>
      </w:tr>
      <w:tr w:rsidR="00F012BB" w14:paraId="205F1C53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479B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5.訓練器材裝備費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DCD3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6A7C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FD2C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70ED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F012BB" w14:paraId="2CAD65BA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691A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6.參賽報名費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F931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9242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D66C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F561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F012BB" w14:paraId="48CB6561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6218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7.移地訓練費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FE2B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B473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914B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CB34" w14:textId="77777777" w:rsidR="00F012BB" w:rsidRDefault="00000000">
            <w:pPr>
              <w:pStyle w:val="Standard"/>
              <w:widowControl/>
              <w:spacing w:line="400" w:lineRule="exact"/>
            </w:pPr>
            <w:proofErr w:type="gramStart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休賽季</w:t>
            </w:r>
            <w:proofErr w:type="gramEnd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至沖繩移地訓練，球員、教練團隊、行政團隊共40人，包船共100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元，住宿費用200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元，訓練場地及器材設施100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元。</w:t>
            </w:r>
          </w:p>
        </w:tc>
      </w:tr>
      <w:tr w:rsidR="00F012BB" w14:paraId="70A738E7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0BC3" w14:textId="77777777" w:rsidR="00F012BB" w:rsidRDefault="00000000">
            <w:pPr>
              <w:pStyle w:val="Standard"/>
              <w:widowControl/>
              <w:spacing w:line="400" w:lineRule="exact"/>
              <w:ind w:left="280" w:hanging="280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8.參賽或聯賽</w:t>
            </w:r>
            <w:proofErr w:type="gramStart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期間旅</w:t>
            </w:r>
            <w:proofErr w:type="gramEnd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運費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034B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2AB6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166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797C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30場次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5D12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賽季期間高鐵優惠費用。</w:t>
            </w:r>
          </w:p>
        </w:tc>
      </w:tr>
      <w:tr w:rsidR="00F012BB" w14:paraId="2362A2C4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ED0D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11.相關保險費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04BC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612F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2,500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2D73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40人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8BC3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移地訓練期間保險。</w:t>
            </w:r>
          </w:p>
        </w:tc>
      </w:tr>
      <w:tr w:rsidR="00F012BB" w14:paraId="2CB1C59B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F466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12.場地維運費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B390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723B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0FE2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31C3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F012BB" w14:paraId="1C200A7D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94E4" w14:textId="77777777" w:rsidR="00F012BB" w:rsidRDefault="00000000">
            <w:pPr>
              <w:pStyle w:val="Standard"/>
              <w:widowControl/>
              <w:spacing w:line="400" w:lineRule="exact"/>
              <w:ind w:left="420" w:hanging="420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13.選手退役輔導費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B08B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8370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2958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10天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DDA7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邀請行銷界、媒體界、商業界、職</w:t>
            </w:r>
            <w:proofErr w:type="gramStart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輔導界人士進行輔導課程。</w:t>
            </w:r>
          </w:p>
        </w:tc>
      </w:tr>
      <w:tr w:rsidR="00F012BB" w14:paraId="29AED5F1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2771" w14:textId="77777777" w:rsidR="00F012BB" w:rsidRDefault="00000000">
            <w:pPr>
              <w:pStyle w:val="Standard"/>
              <w:widowControl/>
              <w:spacing w:line="400" w:lineRule="exact"/>
              <w:ind w:left="420" w:hanging="420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lastRenderedPageBreak/>
              <w:t>14.因應特殊傳染性疾病防疫措施衍生費用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DF35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E731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3510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A72B" w14:textId="77777777" w:rsidR="00F012BB" w:rsidRDefault="00000000">
            <w:pPr>
              <w:pStyle w:val="Standard"/>
              <w:widowControl/>
              <w:spacing w:line="400" w:lineRule="exact"/>
            </w:pPr>
            <w:proofErr w:type="gramStart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覈</w:t>
            </w:r>
            <w:proofErr w:type="gramEnd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實支付。</w:t>
            </w:r>
          </w:p>
        </w:tc>
      </w:tr>
      <w:tr w:rsidR="00F012BB" w14:paraId="2CD8EA63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56AB" w14:textId="77777777" w:rsidR="00F012BB" w:rsidRDefault="00000000">
            <w:pPr>
              <w:pStyle w:val="Standard"/>
              <w:widowControl/>
              <w:spacing w:line="400" w:lineRule="exact"/>
              <w:ind w:left="420" w:hanging="420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15.其他經教育部指定支出用途(學生球迷養成)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A8F9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1,500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43E7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E10A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1AAB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學生球迷養成推廣活動規劃支出。</w:t>
            </w:r>
          </w:p>
        </w:tc>
      </w:tr>
      <w:tr w:rsidR="00F012BB" w14:paraId="548EDC1C" w14:textId="77777777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B0C2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總計金額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BF53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88,100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7325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41CA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9E41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</w:tbl>
    <w:p w14:paraId="079F0D5F" w14:textId="77777777" w:rsidR="00F012BB" w:rsidRDefault="00F012BB">
      <w:pPr>
        <w:pStyle w:val="a8"/>
        <w:spacing w:line="440" w:lineRule="exact"/>
        <w:ind w:left="7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BD097E7" w14:textId="77777777" w:rsidR="00F012BB" w:rsidRDefault="00000000">
      <w:pPr>
        <w:pStyle w:val="a8"/>
        <w:spacing w:line="440" w:lineRule="exact"/>
        <w:ind w:left="0"/>
      </w:pPr>
      <w:r>
        <w:rPr>
          <w:rFonts w:ascii="Times New Roman" w:eastAsia="標楷體" w:hAnsi="Times New Roman" w:cs="Times New Roman"/>
          <w:b/>
          <w:sz w:val="32"/>
          <w:szCs w:val="32"/>
        </w:rPr>
        <w:t>(</w:t>
      </w:r>
      <w:r>
        <w:rPr>
          <w:rFonts w:ascii="Times New Roman" w:eastAsia="標楷體" w:hAnsi="Times New Roman" w:cs="Times New Roman"/>
          <w:b/>
          <w:sz w:val="32"/>
          <w:szCs w:val="32"/>
        </w:rPr>
        <w:t>二</w:t>
      </w:r>
      <w:r>
        <w:rPr>
          <w:rFonts w:ascii="Times New Roman" w:eastAsia="標楷體" w:hAnsi="Times New Roman" w:cs="Times New Roman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sz w:val="32"/>
          <w:szCs w:val="32"/>
        </w:rPr>
        <w:t>依本辦法支出用途明列年度預計經專戶支出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104"/>
        <w:gridCol w:w="1021"/>
        <w:gridCol w:w="1277"/>
        <w:gridCol w:w="3685"/>
      </w:tblGrid>
      <w:tr w:rsidR="00F012BB" w14:paraId="6878B598" w14:textId="77777777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6112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經費需求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)</w:t>
            </w:r>
          </w:p>
        </w:tc>
      </w:tr>
      <w:tr w:rsidR="00F012BB" w14:paraId="72CF140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820D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項目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13E5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小計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3D0A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單價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846C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數量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EA45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commentRangeStart w:id="12"/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說明及備註</w:t>
            </w:r>
            <w:commentRangeEnd w:id="12"/>
            <w:r>
              <w:rPr>
                <w:rStyle w:val="af4"/>
                <w:rFonts w:ascii="Times New Roman" w:eastAsia="標楷體" w:hAnsi="Times New Roman" w:cs="Times New Roman"/>
              </w:rPr>
              <w:commentReference w:id="12"/>
            </w:r>
          </w:p>
        </w:tc>
      </w:tr>
      <w:tr w:rsidR="00F012BB" w14:paraId="625FA3B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753D" w14:textId="77777777" w:rsidR="00F012BB" w:rsidRDefault="00000000">
            <w:pPr>
              <w:pStyle w:val="Standard"/>
              <w:widowControl/>
              <w:spacing w:line="400" w:lineRule="exact"/>
              <w:ind w:left="280" w:hanging="280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專門從事運動賽事之選手報酬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6239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35,000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2654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6E01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288E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2名外籍球員及9名本土球員。</w:t>
            </w:r>
          </w:p>
        </w:tc>
      </w:tr>
      <w:tr w:rsidR="00F012BB" w14:paraId="584B182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161A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教練指導費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9CC3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900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E352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8BA5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FE07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用於學生球迷養成推廣活動教練費用。</w:t>
            </w:r>
          </w:p>
        </w:tc>
      </w:tr>
      <w:tr w:rsidR="00F012BB" w14:paraId="364433F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6031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運動科學支援費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1157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800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12C4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D313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7312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大型器材。</w:t>
            </w:r>
          </w:p>
        </w:tc>
      </w:tr>
      <w:tr w:rsidR="00F012BB" w14:paraId="280E8A80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1819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5F3D" w14:textId="77777777" w:rsidR="00F012BB" w:rsidRDefault="00F012BB">
            <w:pPr>
              <w:jc w:val="righ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46DB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350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1307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E91A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研發團隊費用。</w:t>
            </w:r>
          </w:p>
        </w:tc>
      </w:tr>
      <w:tr w:rsidR="00F012BB" w14:paraId="0865F4C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144F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運動防護費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034C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A53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EBAF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8A63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防護用品支出。</w:t>
            </w:r>
          </w:p>
        </w:tc>
      </w:tr>
      <w:tr w:rsidR="00F012BB" w14:paraId="77E8FEC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0143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訓練器材裝備費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484C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671A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FB9C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34C3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F012BB" w14:paraId="4549EF7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0DF6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7.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移地訓練費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6A37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7D46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B03C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C46B" w14:textId="77777777" w:rsidR="00F012BB" w:rsidRDefault="00000000">
            <w:pPr>
              <w:pStyle w:val="Standard"/>
              <w:widowControl/>
              <w:spacing w:line="400" w:lineRule="exact"/>
            </w:pPr>
            <w:proofErr w:type="gramStart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休賽季</w:t>
            </w:r>
            <w:proofErr w:type="gramEnd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至沖繩移地訓練，球員、教練團隊、行政團隊共40人，包船共100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元，住宿費用200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元，訓練場地及器材設施100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元。</w:t>
            </w:r>
          </w:p>
        </w:tc>
      </w:tr>
      <w:tr w:rsidR="00F012BB" w14:paraId="0897CF1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D98E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11.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相關保險費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0111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2E9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2,500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DEE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40人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B085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移地訓練期間保險。</w:t>
            </w:r>
          </w:p>
        </w:tc>
      </w:tr>
      <w:tr w:rsidR="00F012BB" w14:paraId="73DA336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40A1" w14:textId="77777777" w:rsidR="00F012BB" w:rsidRDefault="00000000">
            <w:pPr>
              <w:pStyle w:val="Standard"/>
              <w:widowControl/>
              <w:spacing w:line="400" w:lineRule="exact"/>
              <w:ind w:left="420" w:hanging="420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lastRenderedPageBreak/>
              <w:t>13.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選手退役輔導費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3ED3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F26E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2E44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10天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CB69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邀請行銷界、媒體界、商業界、職</w:t>
            </w:r>
            <w:proofErr w:type="gramStart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輔導界人士進行輔導課程。</w:t>
            </w:r>
          </w:p>
        </w:tc>
      </w:tr>
      <w:tr w:rsidR="00F012BB" w14:paraId="010F7E6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5329" w14:textId="77777777" w:rsidR="00F012BB" w:rsidRDefault="00000000">
            <w:pPr>
              <w:pStyle w:val="Standard"/>
              <w:widowControl/>
              <w:spacing w:line="400" w:lineRule="exact"/>
              <w:ind w:left="420" w:hanging="420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15.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其他經教育部指定支出用途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學生球迷養成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03DD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1,500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296D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02E8" w14:textId="77777777" w:rsidR="00F012BB" w:rsidRDefault="00000000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50場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3CA0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學生球迷養成推廣活動規劃支出。</w:t>
            </w:r>
          </w:p>
        </w:tc>
      </w:tr>
      <w:tr w:rsidR="00F012BB" w14:paraId="7BF10131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D257" w14:textId="77777777" w:rsidR="00F012BB" w:rsidRDefault="00000000">
            <w:pPr>
              <w:pStyle w:val="Standard"/>
              <w:widowControl/>
              <w:spacing w:line="400" w:lineRule="exac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總計金額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31CA" w14:textId="77777777" w:rsidR="00F012BB" w:rsidRDefault="00000000">
            <w:pPr>
              <w:pStyle w:val="Standard"/>
              <w:widowControl/>
              <w:spacing w:line="400" w:lineRule="exact"/>
              <w:jc w:val="right"/>
            </w:pP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40,000</w:t>
            </w:r>
            <w:r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,000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040D" w14:textId="77777777" w:rsidR="00F012BB" w:rsidRDefault="00F012BB">
            <w:pPr>
              <w:pStyle w:val="Standard"/>
              <w:widowControl/>
              <w:spacing w:line="400" w:lineRule="exact"/>
              <w:jc w:val="righ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2F41" w14:textId="77777777" w:rsidR="00F012BB" w:rsidRDefault="00F012B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A3DB" w14:textId="77777777" w:rsidR="00F012BB" w:rsidRDefault="00F012BB">
            <w:pPr>
              <w:pStyle w:val="Standard"/>
              <w:widowControl/>
              <w:spacing w:line="400" w:lineRule="exact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</w:tbl>
    <w:p w14:paraId="67C79FB9" w14:textId="77777777" w:rsidR="00F012BB" w:rsidRDefault="00F012BB">
      <w:pPr>
        <w:pStyle w:val="Standard"/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0475DD6" w14:textId="77777777" w:rsidR="00F012BB" w:rsidRDefault="00000000">
      <w:pPr>
        <w:pStyle w:val="Standard"/>
        <w:spacing w:line="440" w:lineRule="exact"/>
      </w:pPr>
      <w:r>
        <w:rPr>
          <w:rFonts w:ascii="Times New Roman" w:eastAsia="標楷體" w:hAnsi="Times New Roman" w:cs="Times New Roman"/>
          <w:b/>
          <w:sz w:val="32"/>
          <w:szCs w:val="32"/>
        </w:rPr>
        <w:t>(</w:t>
      </w:r>
      <w:r>
        <w:rPr>
          <w:rFonts w:ascii="Times New Roman" w:eastAsia="標楷體" w:hAnsi="Times New Roman" w:cs="Times New Roman"/>
          <w:b/>
          <w:sz w:val="32"/>
          <w:szCs w:val="32"/>
        </w:rPr>
        <w:t>三</w:t>
      </w:r>
      <w:r>
        <w:rPr>
          <w:rFonts w:ascii="Times New Roman" w:eastAsia="標楷體" w:hAnsi="Times New Roman" w:cs="Times New Roman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sz w:val="32"/>
          <w:szCs w:val="32"/>
        </w:rPr>
        <w:t>請款期程</w:t>
      </w:r>
    </w:p>
    <w:p w14:paraId="7CE7CE94" w14:textId="77777777" w:rsidR="00F012BB" w:rsidRDefault="00000000">
      <w:pPr>
        <w:pStyle w:val="Standard"/>
        <w:spacing w:line="440" w:lineRule="exact"/>
        <w:ind w:firstLine="560"/>
      </w:pPr>
      <w:r>
        <w:rPr>
          <w:rFonts w:ascii="Times New Roman" w:eastAsia="標楷體" w:hAnsi="Times New Roman" w:cs="Times New Roman"/>
          <w:sz w:val="28"/>
          <w:szCs w:val="32"/>
        </w:rPr>
        <w:t>共分</w:t>
      </w:r>
      <w:r>
        <w:rPr>
          <w:rFonts w:ascii="Times New Roman" w:eastAsia="標楷體" w:hAnsi="Times New Roman" w:cs="Times New Roman"/>
          <w:sz w:val="28"/>
          <w:szCs w:val="32"/>
        </w:rPr>
        <w:t>2</w:t>
      </w:r>
      <w:r>
        <w:rPr>
          <w:rFonts w:ascii="Times New Roman" w:eastAsia="標楷體" w:hAnsi="Times New Roman" w:cs="Times New Roman"/>
          <w:sz w:val="28"/>
          <w:szCs w:val="32"/>
        </w:rPr>
        <w:t>期請款</w:t>
      </w:r>
      <w:r>
        <w:rPr>
          <w:rFonts w:ascii="Times New Roman" w:eastAsia="標楷體" w:hAnsi="Times New Roman" w:cs="Times New Roman"/>
          <w:sz w:val="28"/>
          <w:szCs w:val="32"/>
        </w:rPr>
        <w:t>:</w:t>
      </w:r>
      <w:proofErr w:type="gramStart"/>
      <w:r>
        <w:rPr>
          <w:rFonts w:ascii="Times New Roman" w:eastAsia="標楷體" w:hAnsi="Times New Roman" w:cs="Times New Roman"/>
          <w:sz w:val="28"/>
          <w:szCs w:val="32"/>
        </w:rPr>
        <w:t>第</w:t>
      </w:r>
      <w:r>
        <w:rPr>
          <w:rFonts w:ascii="Times New Roman" w:eastAsia="標楷體" w:hAnsi="Times New Roman" w:cs="Times New Roman"/>
          <w:sz w:val="28"/>
          <w:szCs w:val="32"/>
        </w:rPr>
        <w:t>1</w:t>
      </w:r>
      <w:r>
        <w:rPr>
          <w:rFonts w:ascii="Times New Roman" w:eastAsia="標楷體" w:hAnsi="Times New Roman" w:cs="Times New Roman"/>
          <w:sz w:val="28"/>
          <w:szCs w:val="32"/>
        </w:rPr>
        <w:t>期款</w:t>
      </w:r>
      <w:proofErr w:type="gramEnd"/>
      <w:r>
        <w:rPr>
          <w:rFonts w:ascii="Times New Roman" w:eastAsia="標楷體" w:hAnsi="Times New Roman" w:cs="Times New Roman"/>
          <w:sz w:val="28"/>
          <w:szCs w:val="32"/>
        </w:rPr>
        <w:t>於捐款入體育署</w:t>
      </w:r>
      <w:proofErr w:type="gramStart"/>
      <w:r>
        <w:rPr>
          <w:rFonts w:ascii="Times New Roman" w:eastAsia="標楷體" w:hAnsi="Times New Roman" w:cs="Times New Roman"/>
          <w:sz w:val="28"/>
          <w:szCs w:val="32"/>
        </w:rPr>
        <w:t>專戶後</w:t>
      </w:r>
      <w:proofErr w:type="gramEnd"/>
      <w:r>
        <w:rPr>
          <w:rFonts w:ascii="Times New Roman" w:eastAsia="標楷體" w:hAnsi="Times New Roman" w:cs="Times New Roman"/>
          <w:sz w:val="28"/>
          <w:szCs w:val="32"/>
        </w:rPr>
        <w:t>，請領</w:t>
      </w:r>
      <w:r>
        <w:rPr>
          <w:rFonts w:ascii="Times New Roman" w:eastAsia="標楷體" w:hAnsi="Times New Roman" w:cs="Times New Roman"/>
          <w:sz w:val="28"/>
          <w:szCs w:val="32"/>
        </w:rPr>
        <w:t>70%(2,800</w:t>
      </w:r>
      <w:r>
        <w:rPr>
          <w:rFonts w:ascii="Times New Roman" w:eastAsia="標楷體" w:hAnsi="Times New Roman" w:cs="Times New Roman"/>
          <w:sz w:val="28"/>
          <w:szCs w:val="32"/>
        </w:rPr>
        <w:t>萬元</w:t>
      </w:r>
      <w:r>
        <w:rPr>
          <w:rFonts w:ascii="Times New Roman" w:eastAsia="標楷體" w:hAnsi="Times New Roman" w:cs="Times New Roman"/>
          <w:sz w:val="28"/>
          <w:szCs w:val="32"/>
        </w:rPr>
        <w:t>)</w:t>
      </w:r>
      <w:r>
        <w:rPr>
          <w:rFonts w:ascii="Times New Roman" w:eastAsia="標楷體" w:hAnsi="Times New Roman" w:cs="Times New Roman"/>
          <w:sz w:val="28"/>
          <w:szCs w:val="32"/>
        </w:rPr>
        <w:t>；</w:t>
      </w:r>
      <w:proofErr w:type="gramStart"/>
      <w:r>
        <w:rPr>
          <w:rFonts w:ascii="Times New Roman" w:eastAsia="標楷體" w:hAnsi="Times New Roman" w:cs="Times New Roman"/>
          <w:sz w:val="28"/>
          <w:szCs w:val="32"/>
        </w:rPr>
        <w:t>第</w:t>
      </w:r>
      <w:r>
        <w:rPr>
          <w:rFonts w:ascii="Times New Roman" w:eastAsia="標楷體" w:hAnsi="Times New Roman" w:cs="Times New Roman"/>
          <w:sz w:val="28"/>
          <w:szCs w:val="32"/>
        </w:rPr>
        <w:t>2</w:t>
      </w:r>
      <w:r>
        <w:rPr>
          <w:rFonts w:ascii="Times New Roman" w:eastAsia="標楷體" w:hAnsi="Times New Roman" w:cs="Times New Roman"/>
          <w:sz w:val="28"/>
          <w:szCs w:val="32"/>
        </w:rPr>
        <w:t>期款</w:t>
      </w:r>
      <w:proofErr w:type="gramEnd"/>
      <w:r>
        <w:rPr>
          <w:rFonts w:ascii="Times New Roman" w:eastAsia="標楷體" w:hAnsi="Times New Roman" w:cs="Times New Roman"/>
          <w:sz w:val="28"/>
          <w:szCs w:val="32"/>
        </w:rPr>
        <w:t>於</w:t>
      </w:r>
      <w:r>
        <w:rPr>
          <w:rFonts w:ascii="Times New Roman" w:eastAsia="標楷體" w:hAnsi="Times New Roman" w:cs="Times New Roman"/>
          <w:sz w:val="28"/>
          <w:szCs w:val="32"/>
        </w:rPr>
        <w:t>111</w:t>
      </w:r>
      <w:r>
        <w:rPr>
          <w:rFonts w:ascii="Times New Roman" w:eastAsia="標楷體" w:hAnsi="Times New Roman" w:cs="Times New Roman"/>
          <w:sz w:val="28"/>
          <w:szCs w:val="32"/>
        </w:rPr>
        <w:t>年</w:t>
      </w:r>
      <w:r>
        <w:rPr>
          <w:rFonts w:ascii="Times New Roman" w:eastAsia="標楷體" w:hAnsi="Times New Roman" w:cs="Times New Roman"/>
          <w:sz w:val="28"/>
          <w:szCs w:val="32"/>
        </w:rPr>
        <w:t>12</w:t>
      </w:r>
      <w:r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Times New Roman" w:eastAsia="標楷體" w:hAnsi="Times New Roman" w:cs="Times New Roman"/>
          <w:sz w:val="28"/>
          <w:szCs w:val="32"/>
        </w:rPr>
        <w:t>10</w:t>
      </w:r>
      <w:r>
        <w:rPr>
          <w:rFonts w:ascii="Times New Roman" w:eastAsia="標楷體" w:hAnsi="Times New Roman" w:cs="Times New Roman"/>
          <w:sz w:val="28"/>
          <w:szCs w:val="32"/>
        </w:rPr>
        <w:t>日提報結案報告書，並請領</w:t>
      </w:r>
      <w:r>
        <w:rPr>
          <w:rFonts w:ascii="Times New Roman" w:eastAsia="標楷體" w:hAnsi="Times New Roman" w:cs="Times New Roman"/>
          <w:sz w:val="28"/>
          <w:szCs w:val="32"/>
        </w:rPr>
        <w:t>30%(1,200</w:t>
      </w:r>
      <w:r>
        <w:rPr>
          <w:rFonts w:ascii="Times New Roman" w:eastAsia="標楷體" w:hAnsi="Times New Roman" w:cs="Times New Roman"/>
          <w:sz w:val="28"/>
          <w:szCs w:val="32"/>
        </w:rPr>
        <w:t>萬元</w:t>
      </w:r>
      <w:r>
        <w:rPr>
          <w:rFonts w:ascii="Times New Roman" w:eastAsia="標楷體" w:hAnsi="Times New Roman" w:cs="Times New Roman"/>
          <w:sz w:val="28"/>
          <w:szCs w:val="32"/>
        </w:rPr>
        <w:t>)</w:t>
      </w:r>
      <w:r>
        <w:rPr>
          <w:rFonts w:ascii="Times New Roman" w:eastAsia="標楷體" w:hAnsi="Times New Roman" w:cs="Times New Roman"/>
          <w:sz w:val="28"/>
          <w:szCs w:val="32"/>
        </w:rPr>
        <w:t>。</w:t>
      </w:r>
    </w:p>
    <w:p w14:paraId="63ECFD13" w14:textId="77777777" w:rsidR="00F012BB" w:rsidRDefault="00F012BB">
      <w:pPr>
        <w:pStyle w:val="Standard"/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5B59EBE" w14:textId="77777777" w:rsidR="00F012BB" w:rsidRDefault="00000000">
      <w:pPr>
        <w:pStyle w:val="a8"/>
        <w:numPr>
          <w:ilvl w:val="0"/>
          <w:numId w:val="29"/>
        </w:numPr>
        <w:spacing w:line="440" w:lineRule="exact"/>
      </w:pPr>
      <w:commentRangeStart w:id="13"/>
      <w:r>
        <w:rPr>
          <w:rFonts w:ascii="Times New Roman" w:eastAsia="標楷體" w:hAnsi="Times New Roman" w:cs="Times New Roman"/>
          <w:b/>
          <w:sz w:val="32"/>
          <w:szCs w:val="32"/>
        </w:rPr>
        <w:t>預期效益</w:t>
      </w:r>
      <w:commentRangeEnd w:id="13"/>
      <w:r>
        <w:commentReference w:id="13"/>
      </w:r>
    </w:p>
    <w:p w14:paraId="73979485" w14:textId="77777777" w:rsidR="00F012BB" w:rsidRDefault="00000000">
      <w:pPr>
        <w:pStyle w:val="a8"/>
        <w:numPr>
          <w:ilvl w:val="0"/>
          <w:numId w:val="42"/>
        </w:numPr>
        <w:spacing w:line="440" w:lineRule="exact"/>
      </w:pPr>
      <w:r>
        <w:rPr>
          <w:rFonts w:ascii="標楷體" w:eastAsia="標楷體" w:hAnsi="標楷體" w:cs="Times New Roman"/>
          <w:bCs/>
          <w:sz w:val="28"/>
          <w:szCs w:val="28"/>
        </w:rPr>
        <w:t>質化指標：培育南部地區籃球人才，推動在地籃球風氣。強化球隊戰力，提升球隊知名度。</w:t>
      </w:r>
    </w:p>
    <w:p w14:paraId="1929A6AF" w14:textId="77777777" w:rsidR="00F012BB" w:rsidRDefault="00000000">
      <w:pPr>
        <w:pStyle w:val="a8"/>
        <w:numPr>
          <w:ilvl w:val="0"/>
          <w:numId w:val="38"/>
        </w:numPr>
        <w:spacing w:line="440" w:lineRule="exact"/>
      </w:pPr>
      <w:r>
        <w:rPr>
          <w:rFonts w:ascii="標楷體" w:eastAsia="標楷體" w:hAnsi="標楷體" w:cs="Times New Roman"/>
          <w:bCs/>
          <w:sz w:val="28"/>
          <w:szCs w:val="28"/>
        </w:rPr>
        <w:t>量化指標</w:t>
      </w:r>
      <w:r>
        <w:rPr>
          <w:rFonts w:ascii="標楷體" w:eastAsia="標楷體" w:hAnsi="標楷體" w:cs="Times New Roman"/>
          <w:sz w:val="28"/>
          <w:szCs w:val="28"/>
        </w:rPr>
        <w:t>：</w:t>
      </w:r>
    </w:p>
    <w:p w14:paraId="6DEC3E7F" w14:textId="77777777" w:rsidR="00F012BB" w:rsidRDefault="00000000">
      <w:pPr>
        <w:pStyle w:val="a8"/>
        <w:numPr>
          <w:ilvl w:val="3"/>
          <w:numId w:val="1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與日本、韓國職業籃球隊交流賽事，吸引進場球迷人數6,000人次。</w:t>
      </w:r>
    </w:p>
    <w:p w14:paraId="1B266D73" w14:textId="77777777" w:rsidR="00F012BB" w:rsidRDefault="00000000">
      <w:pPr>
        <w:pStyle w:val="a8"/>
        <w:numPr>
          <w:ilvl w:val="3"/>
          <w:numId w:val="1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國內聯賽進場球迷人數達1,000人/每場。</w:t>
      </w:r>
    </w:p>
    <w:p w14:paraId="2C418A0E" w14:textId="77777777" w:rsidR="00F012BB" w:rsidRDefault="00000000">
      <w:pPr>
        <w:pStyle w:val="a8"/>
        <w:numPr>
          <w:ilvl w:val="3"/>
          <w:numId w:val="12"/>
        </w:numPr>
        <w:spacing w:line="440" w:lineRule="exact"/>
      </w:pPr>
      <w:r>
        <w:rPr>
          <w:rFonts w:ascii="標楷體" w:eastAsia="標楷體" w:hAnsi="標楷體" w:cs="Times New Roman"/>
          <w:sz w:val="28"/>
          <w:szCs w:val="28"/>
        </w:rPr>
        <w:t>較</w:t>
      </w:r>
      <w:proofErr w:type="gramStart"/>
      <w:r>
        <w:rPr>
          <w:rFonts w:ascii="標楷體" w:eastAsia="標楷體" w:hAnsi="標楷體" w:cs="Times New Roman"/>
          <w:sz w:val="28"/>
          <w:szCs w:val="28"/>
        </w:rPr>
        <w:t>110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年度新增部分商業收入及轉播收入，</w:t>
      </w:r>
      <w:proofErr w:type="gramStart"/>
      <w:r>
        <w:rPr>
          <w:rFonts w:ascii="標楷體" w:eastAsia="標楷體" w:hAnsi="標楷體" w:cs="Times New Roman"/>
          <w:sz w:val="28"/>
          <w:szCs w:val="28"/>
        </w:rPr>
        <w:t>挹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注營運資源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959F42E" w14:textId="77777777" w:rsidR="00F012BB" w:rsidRDefault="00F012BB">
      <w:pPr>
        <w:pStyle w:val="Standard"/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AF97249" w14:textId="77777777" w:rsidR="00F012BB" w:rsidRDefault="00000000">
      <w:pPr>
        <w:pStyle w:val="a8"/>
        <w:numPr>
          <w:ilvl w:val="0"/>
          <w:numId w:val="29"/>
        </w:numPr>
        <w:spacing w:line="440" w:lineRule="exact"/>
      </w:pPr>
      <w:commentRangeStart w:id="14"/>
      <w:r>
        <w:rPr>
          <w:rFonts w:ascii="Times New Roman" w:eastAsia="標楷體" w:hAnsi="Times New Roman" w:cs="Times New Roman"/>
          <w:b/>
          <w:sz w:val="32"/>
          <w:szCs w:val="32"/>
        </w:rPr>
        <w:t>年度經費募集規劃</w:t>
      </w:r>
      <w:commentRangeEnd w:id="14"/>
      <w:r>
        <w:rPr>
          <w:rFonts w:ascii="Times New Roman" w:eastAsia="標楷體" w:hAnsi="Times New Roman" w:cs="Times New Roman"/>
        </w:rPr>
        <w:commentReference w:id="14"/>
      </w:r>
    </w:p>
    <w:p w14:paraId="0EA231BD" w14:textId="77777777" w:rsidR="00F012BB" w:rsidRDefault="00000000">
      <w:pPr>
        <w:pStyle w:val="a8"/>
        <w:spacing w:line="440" w:lineRule="exact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)A</w:t>
      </w:r>
      <w:r>
        <w:rPr>
          <w:rFonts w:ascii="Times New Roman" w:eastAsia="標楷體" w:hAnsi="Times New Roman" w:cs="Times New Roman"/>
          <w:sz w:val="28"/>
          <w:szCs w:val="28"/>
        </w:rPr>
        <w:t>公司</w:t>
      </w:r>
      <w:r>
        <w:rPr>
          <w:rFonts w:ascii="Times New Roman" w:eastAsia="標楷體" w:hAnsi="Times New Roman" w:cs="Times New Roman"/>
          <w:sz w:val="28"/>
          <w:szCs w:val="28"/>
        </w:rPr>
        <w:t>(Line Bank)</w:t>
      </w:r>
      <w:r>
        <w:rPr>
          <w:rFonts w:ascii="Times New Roman" w:eastAsia="標楷體" w:hAnsi="Times New Roman" w:cs="Times New Roman"/>
          <w:sz w:val="28"/>
          <w:szCs w:val="28"/>
        </w:rPr>
        <w:t>預計經教育部專戶捐贈本計畫</w:t>
      </w:r>
      <w:r>
        <w:rPr>
          <w:rFonts w:ascii="Times New Roman" w:eastAsia="標楷體" w:hAnsi="Times New Roman" w:cs="Times New Roman"/>
          <w:sz w:val="28"/>
          <w:szCs w:val="28"/>
        </w:rPr>
        <w:t>2,500</w:t>
      </w:r>
      <w:r>
        <w:rPr>
          <w:rFonts w:ascii="Times New Roman" w:eastAsia="標楷體" w:hAnsi="Times New Roman" w:cs="Times New Roman"/>
          <w:sz w:val="28"/>
          <w:szCs w:val="28"/>
        </w:rPr>
        <w:t>萬元。</w:t>
      </w:r>
    </w:p>
    <w:p w14:paraId="7F5AE39E" w14:textId="77777777" w:rsidR="00F012BB" w:rsidRDefault="00000000">
      <w:pPr>
        <w:pStyle w:val="a8"/>
        <w:spacing w:line="440" w:lineRule="exact"/>
        <w:ind w:left="720"/>
        <w:sectPr w:rsidR="00F012BB">
          <w:footerReference w:type="default" r:id="rId10"/>
          <w:pgSz w:w="11906" w:h="16838"/>
          <w:pgMar w:top="1134" w:right="1134" w:bottom="1134" w:left="1134" w:header="720" w:footer="0" w:gutter="0"/>
          <w:cols w:space="720"/>
        </w:sect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>)B</w:t>
      </w:r>
      <w:r>
        <w:rPr>
          <w:rFonts w:ascii="Times New Roman" w:eastAsia="標楷體" w:hAnsi="Times New Roman" w:cs="Times New Roman"/>
          <w:sz w:val="28"/>
          <w:szCs w:val="28"/>
        </w:rPr>
        <w:t>公司</w:t>
      </w:r>
      <w:r>
        <w:rPr>
          <w:rFonts w:ascii="Times New Roman" w:eastAsia="標楷體" w:hAnsi="Times New Roman" w:cs="Times New Roman"/>
          <w:sz w:val="28"/>
          <w:szCs w:val="28"/>
        </w:rPr>
        <w:t>(PC Home)</w:t>
      </w:r>
      <w:r>
        <w:rPr>
          <w:rFonts w:ascii="Times New Roman" w:eastAsia="標楷體" w:hAnsi="Times New Roman" w:cs="Times New Roman"/>
          <w:sz w:val="28"/>
          <w:szCs w:val="28"/>
        </w:rPr>
        <w:t>預計經教育部專戶捐贈本計畫</w:t>
      </w:r>
      <w:r>
        <w:rPr>
          <w:rFonts w:ascii="Times New Roman" w:eastAsia="標楷體" w:hAnsi="Times New Roman" w:cs="Times New Roman"/>
          <w:sz w:val="28"/>
          <w:szCs w:val="28"/>
        </w:rPr>
        <w:t>1,500</w:t>
      </w:r>
      <w:r>
        <w:rPr>
          <w:rFonts w:ascii="Times New Roman" w:eastAsia="標楷體" w:hAnsi="Times New Roman" w:cs="Times New Roman"/>
          <w:sz w:val="28"/>
          <w:szCs w:val="28"/>
        </w:rPr>
        <w:t>萬元。</w:t>
      </w:r>
    </w:p>
    <w:p w14:paraId="5CDB1AEF" w14:textId="77777777" w:rsidR="00F012BB" w:rsidRDefault="00000000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職業或業餘運動業及重點運動賽事審查基準</w:t>
      </w:r>
    </w:p>
    <w:p w14:paraId="5CA52A73" w14:textId="77777777" w:rsidR="00F012BB" w:rsidRDefault="00F012BB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3969"/>
        <w:gridCol w:w="2552"/>
      </w:tblGrid>
      <w:tr w:rsidR="00F012BB" w14:paraId="4F83E76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5FA2" w14:textId="77777777" w:rsidR="00F012BB" w:rsidRDefault="00000000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申請計畫及佐證文件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AC3B" w14:textId="77777777" w:rsidR="00F012BB" w:rsidRDefault="00000000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審查基準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403B" w14:textId="77777777" w:rsidR="00F012BB" w:rsidRDefault="00000000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審查結果</w:t>
            </w:r>
          </w:p>
        </w:tc>
      </w:tr>
      <w:tr w:rsidR="00F012BB" w14:paraId="1890E908" w14:textId="77777777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6D2D" w14:textId="77777777" w:rsidR="00F012BB" w:rsidRDefault="00000000">
            <w:pPr>
              <w:pStyle w:val="Standard"/>
              <w:numPr>
                <w:ilvl w:val="0"/>
                <w:numId w:val="31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申請表</w:t>
            </w:r>
          </w:p>
          <w:p w14:paraId="32791145" w14:textId="77777777" w:rsidR="00F012BB" w:rsidRDefault="00000000">
            <w:pPr>
              <w:pStyle w:val="Standard"/>
              <w:numPr>
                <w:ilvl w:val="0"/>
                <w:numId w:val="31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年度經營或籌辦計畫：</w:t>
            </w:r>
          </w:p>
          <w:p w14:paraId="69984733" w14:textId="77777777" w:rsidR="00F012BB" w:rsidRDefault="00000000">
            <w:pPr>
              <w:pStyle w:val="Standard"/>
              <w:numPr>
                <w:ilvl w:val="0"/>
                <w:numId w:val="30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營運目標</w:t>
            </w:r>
          </w:p>
          <w:p w14:paraId="11F06624" w14:textId="77777777" w:rsidR="00F012BB" w:rsidRDefault="00000000">
            <w:pPr>
              <w:pStyle w:val="Standard"/>
              <w:numPr>
                <w:ilvl w:val="0"/>
                <w:numId w:val="30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計畫實施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期間、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地點、方式及內容。</w:t>
            </w:r>
          </w:p>
          <w:p w14:paraId="4E8B3B29" w14:textId="77777777" w:rsidR="00F012BB" w:rsidRDefault="00000000">
            <w:pPr>
              <w:pStyle w:val="Standard"/>
              <w:numPr>
                <w:ilvl w:val="0"/>
                <w:numId w:val="30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年度經費需求、用途及請款期程。</w:t>
            </w:r>
          </w:p>
          <w:p w14:paraId="4E6963B1" w14:textId="77777777" w:rsidR="00F012BB" w:rsidRDefault="00000000">
            <w:pPr>
              <w:pStyle w:val="Standard"/>
              <w:numPr>
                <w:ilvl w:val="0"/>
                <w:numId w:val="30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預期效益。</w:t>
            </w:r>
          </w:p>
          <w:p w14:paraId="3C22684D" w14:textId="77777777" w:rsidR="00F012BB" w:rsidRDefault="00000000">
            <w:pPr>
              <w:pStyle w:val="Standard"/>
              <w:numPr>
                <w:ilvl w:val="0"/>
                <w:numId w:val="30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過往二年經營或籌辦之成果。</w:t>
            </w:r>
          </w:p>
          <w:p w14:paraId="0F081423" w14:textId="77777777" w:rsidR="00F012BB" w:rsidRDefault="00000000">
            <w:pPr>
              <w:pStyle w:val="Standard"/>
              <w:numPr>
                <w:ilvl w:val="0"/>
                <w:numId w:val="30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年度經費募集規劃。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451A" w14:textId="77777777" w:rsidR="00F012BB" w:rsidRDefault="00000000">
            <w:pPr>
              <w:pStyle w:val="Standard"/>
              <w:ind w:left="420" w:hanging="420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、職業或業餘運動業認可之審查基準：</w:t>
            </w:r>
          </w:p>
          <w:p w14:paraId="4CDCCDBC" w14:textId="77777777" w:rsidR="00F012BB" w:rsidRDefault="00000000">
            <w:pPr>
              <w:pStyle w:val="Standard"/>
              <w:ind w:firstLine="420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應符合下列各款規定</w:t>
            </w:r>
          </w:p>
          <w:p w14:paraId="4DCD9697" w14:textId="77777777" w:rsidR="00F012BB" w:rsidRDefault="00000000">
            <w:pPr>
              <w:pStyle w:val="Standard"/>
              <w:numPr>
                <w:ilvl w:val="0"/>
                <w:numId w:val="32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計畫可行性。</w:t>
            </w:r>
          </w:p>
          <w:p w14:paraId="6316EAE8" w14:textId="77777777" w:rsidR="00F012BB" w:rsidRDefault="00000000">
            <w:pPr>
              <w:pStyle w:val="Standard"/>
              <w:numPr>
                <w:ilvl w:val="0"/>
                <w:numId w:val="32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經費合理性。</w:t>
            </w:r>
          </w:p>
          <w:p w14:paraId="013EAE23" w14:textId="77777777" w:rsidR="00F012BB" w:rsidRDefault="00000000">
            <w:pPr>
              <w:pStyle w:val="Standard"/>
              <w:numPr>
                <w:ilvl w:val="0"/>
                <w:numId w:val="32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執行能力、經歷及實績。</w:t>
            </w:r>
          </w:p>
          <w:p w14:paraId="5CAB1EC0" w14:textId="77777777" w:rsidR="00F012BB" w:rsidRDefault="00000000">
            <w:pPr>
              <w:pStyle w:val="Standard"/>
              <w:numPr>
                <w:ilvl w:val="0"/>
                <w:numId w:val="32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運動產業發展效益。</w:t>
            </w:r>
          </w:p>
          <w:p w14:paraId="2BC781C5" w14:textId="77777777" w:rsidR="00F012BB" w:rsidRDefault="00000000">
            <w:pPr>
              <w:pStyle w:val="Standard"/>
              <w:numPr>
                <w:ilvl w:val="0"/>
                <w:numId w:val="32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參與性或觀賞性運動人口數目提升。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3597" w14:textId="77777777" w:rsidR="00F012BB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通過。</w:t>
            </w:r>
          </w:p>
          <w:p w14:paraId="2B769F39" w14:textId="77777777" w:rsidR="00F012BB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修正後通過。</w:t>
            </w:r>
          </w:p>
          <w:p w14:paraId="00C71E7C" w14:textId="77777777" w:rsidR="00F012BB" w:rsidRDefault="00000000">
            <w:pPr>
              <w:pStyle w:val="Standard"/>
              <w:ind w:left="280" w:hanging="280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修正後再審，得申請協助輔導。</w:t>
            </w:r>
          </w:p>
          <w:p w14:paraId="71E9272D" w14:textId="77777777" w:rsidR="00F012BB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未通過。</w:t>
            </w:r>
          </w:p>
        </w:tc>
      </w:tr>
      <w:tr w:rsidR="00F012BB" w14:paraId="2166BD2E" w14:textId="77777777">
        <w:tblPrEx>
          <w:tblCellMar>
            <w:top w:w="0" w:type="dxa"/>
            <w:bottom w:w="0" w:type="dxa"/>
          </w:tblCellMar>
        </w:tblPrEx>
        <w:trPr>
          <w:trHeight w:val="4884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458" w14:textId="77777777" w:rsidR="00F012BB" w:rsidRDefault="00F012B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CC6F" w14:textId="77777777" w:rsidR="00F012BB" w:rsidRDefault="00000000">
            <w:pPr>
              <w:pStyle w:val="Standard"/>
              <w:ind w:left="420" w:hanging="420"/>
            </w:pPr>
            <w:r>
              <w:rPr>
                <w:rFonts w:ascii="Times New Roman" w:eastAsia="標楷體" w:hAnsi="Times New Roman" w:cs="Times New Roman"/>
                <w:sz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</w:rPr>
              <w:t>、重點職業或業餘運動業專案核准、重點運動賽事公告之審查基準：</w:t>
            </w:r>
          </w:p>
          <w:p w14:paraId="61F47518" w14:textId="77777777" w:rsidR="00F012BB" w:rsidRDefault="00000000">
            <w:pPr>
              <w:pStyle w:val="Standard"/>
              <w:ind w:firstLine="420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應符合下列各款規定</w:t>
            </w:r>
          </w:p>
          <w:p w14:paraId="7A3D1173" w14:textId="77777777" w:rsidR="00F012BB" w:rsidRDefault="00000000">
            <w:pPr>
              <w:pStyle w:val="Standard"/>
              <w:numPr>
                <w:ilvl w:val="0"/>
                <w:numId w:val="33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計畫可行性。</w:t>
            </w:r>
          </w:p>
          <w:p w14:paraId="13D37306" w14:textId="77777777" w:rsidR="00F012BB" w:rsidRDefault="00000000">
            <w:pPr>
              <w:pStyle w:val="Standard"/>
              <w:numPr>
                <w:ilvl w:val="0"/>
                <w:numId w:val="33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經費合理性。</w:t>
            </w:r>
          </w:p>
          <w:p w14:paraId="31F0659A" w14:textId="77777777" w:rsidR="00F012BB" w:rsidRDefault="00000000">
            <w:pPr>
              <w:pStyle w:val="Standard"/>
              <w:numPr>
                <w:ilvl w:val="0"/>
                <w:numId w:val="33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執行能力、經歷及實績。</w:t>
            </w:r>
          </w:p>
          <w:p w14:paraId="6E76962A" w14:textId="77777777" w:rsidR="00F012BB" w:rsidRDefault="00000000">
            <w:pPr>
              <w:pStyle w:val="Standard"/>
              <w:numPr>
                <w:ilvl w:val="0"/>
                <w:numId w:val="33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運動產業發展效益。</w:t>
            </w:r>
          </w:p>
          <w:p w14:paraId="566BC590" w14:textId="77777777" w:rsidR="00F012BB" w:rsidRDefault="00000000">
            <w:pPr>
              <w:pStyle w:val="Standard"/>
              <w:numPr>
                <w:ilvl w:val="0"/>
                <w:numId w:val="33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參與性或觀賞性運動人口數目提升。</w:t>
            </w:r>
          </w:p>
          <w:p w14:paraId="7F870C56" w14:textId="77777777" w:rsidR="00F012BB" w:rsidRDefault="00000000">
            <w:pPr>
              <w:pStyle w:val="Standard"/>
              <w:numPr>
                <w:ilvl w:val="0"/>
                <w:numId w:val="33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與其他領域跨界結合程度。</w:t>
            </w:r>
          </w:p>
          <w:p w14:paraId="7AF13613" w14:textId="77777777" w:rsidR="00F012BB" w:rsidRDefault="00000000">
            <w:pPr>
              <w:pStyle w:val="Standard"/>
              <w:numPr>
                <w:ilvl w:val="0"/>
                <w:numId w:val="33"/>
              </w:num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與國際之接軌程度。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7A68" w14:textId="77777777" w:rsidR="00F012BB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通過。</w:t>
            </w:r>
          </w:p>
          <w:p w14:paraId="30C892DE" w14:textId="77777777" w:rsidR="00F012BB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修正後通過。</w:t>
            </w:r>
          </w:p>
          <w:p w14:paraId="19B71323" w14:textId="77777777" w:rsidR="00F012BB" w:rsidRDefault="00000000">
            <w:pPr>
              <w:pStyle w:val="Standard"/>
              <w:ind w:left="280" w:hanging="280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修正後再審，得申請協助輔導。</w:t>
            </w:r>
          </w:p>
          <w:p w14:paraId="1F65D9F1" w14:textId="77777777" w:rsidR="00F012BB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>未通過。</w:t>
            </w:r>
          </w:p>
        </w:tc>
      </w:tr>
    </w:tbl>
    <w:p w14:paraId="7D746440" w14:textId="77777777" w:rsidR="00F012BB" w:rsidRDefault="00000000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備註</w:t>
      </w:r>
      <w:r>
        <w:rPr>
          <w:rFonts w:ascii="Times New Roman" w:eastAsia="標楷體" w:hAnsi="Times New Roman" w:cs="Times New Roman"/>
        </w:rPr>
        <w:t>:</w:t>
      </w:r>
    </w:p>
    <w:p w14:paraId="7536E395" w14:textId="77777777" w:rsidR="00F012BB" w:rsidRDefault="00000000">
      <w:pPr>
        <w:pStyle w:val="a8"/>
        <w:numPr>
          <w:ilvl w:val="0"/>
          <w:numId w:val="43"/>
        </w:numPr>
      </w:pPr>
      <w:r>
        <w:rPr>
          <w:rFonts w:ascii="Times New Roman" w:eastAsia="標楷體" w:hAnsi="Times New Roman" w:cs="Times New Roman"/>
        </w:rPr>
        <w:t>由專戶管理會依據</w:t>
      </w: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過往</w:t>
      </w:r>
      <w:proofErr w:type="gramStart"/>
      <w:r>
        <w:rPr>
          <w:rFonts w:ascii="Times New Roman" w:eastAsia="標楷體" w:hAnsi="Times New Roman" w:cs="Times New Roman"/>
        </w:rPr>
        <w:t>2</w:t>
      </w:r>
      <w:proofErr w:type="gramEnd"/>
      <w:r>
        <w:rPr>
          <w:rFonts w:ascii="Times New Roman" w:eastAsia="標楷體" w:hAnsi="Times New Roman" w:cs="Times New Roman"/>
        </w:rPr>
        <w:t>年度</w:t>
      </w:r>
      <w:r>
        <w:rPr>
          <w:rFonts w:ascii="Times New Roman" w:eastAsia="標楷體" w:hAnsi="Times New Roman" w:cs="Times New Roman"/>
          <w:color w:val="000000"/>
        </w:rPr>
        <w:t>資金投入情形；</w:t>
      </w:r>
      <w:r>
        <w:rPr>
          <w:rFonts w:ascii="Times New Roman" w:eastAsia="標楷體" w:hAnsi="Times New Roman" w:cs="Times New Roman"/>
          <w:color w:val="000000"/>
        </w:rPr>
        <w:t>2.</w:t>
      </w:r>
      <w:r>
        <w:rPr>
          <w:rFonts w:ascii="Times New Roman" w:eastAsia="標楷體" w:hAnsi="Times New Roman" w:cs="Times New Roman"/>
          <w:color w:val="000000"/>
        </w:rPr>
        <w:t>經費需求之急迫、必要性；</w:t>
      </w:r>
      <w:r>
        <w:rPr>
          <w:rFonts w:ascii="Times New Roman" w:eastAsia="標楷體" w:hAnsi="Times New Roman" w:cs="Times New Roman"/>
          <w:color w:val="000000"/>
        </w:rPr>
        <w:t>3.</w:t>
      </w:r>
      <w:r>
        <w:rPr>
          <w:rFonts w:ascii="Times New Roman" w:eastAsia="標楷體" w:hAnsi="Times New Roman" w:cs="Times New Roman"/>
          <w:color w:val="000000"/>
        </w:rPr>
        <w:t>年度經營或籌辦計畫等因素，核定受捐贈金額上限。</w:t>
      </w:r>
    </w:p>
    <w:p w14:paraId="55C5C08A" w14:textId="77777777" w:rsidR="00F012BB" w:rsidRDefault="00000000">
      <w:pPr>
        <w:pStyle w:val="a8"/>
        <w:numPr>
          <w:ilvl w:val="0"/>
          <w:numId w:val="34"/>
        </w:numPr>
      </w:pPr>
      <w:r>
        <w:rPr>
          <w:rFonts w:ascii="Times New Roman" w:eastAsia="標楷體" w:hAnsi="Times New Roman" w:cs="Times New Roman"/>
          <w:color w:val="000000"/>
        </w:rPr>
        <w:t>專戶受贈單位得檢附中程計畫，列為相關證明文件，</w:t>
      </w:r>
      <w:proofErr w:type="gramStart"/>
      <w:r>
        <w:rPr>
          <w:rFonts w:ascii="Times New Roman" w:eastAsia="標楷體" w:hAnsi="Times New Roman" w:cs="Times New Roman"/>
          <w:color w:val="000000"/>
        </w:rPr>
        <w:t>併</w:t>
      </w:r>
      <w:proofErr w:type="gramEnd"/>
      <w:r>
        <w:rPr>
          <w:rFonts w:ascii="Times New Roman" w:eastAsia="標楷體" w:hAnsi="Times New Roman" w:cs="Times New Roman"/>
          <w:color w:val="000000"/>
        </w:rPr>
        <w:t>供審核參考。</w:t>
      </w:r>
    </w:p>
    <w:p w14:paraId="1E786040" w14:textId="77777777" w:rsidR="00F012BB" w:rsidRDefault="00F012BB">
      <w:pPr>
        <w:pStyle w:val="Standard"/>
        <w:snapToGrid w:val="0"/>
        <w:jc w:val="center"/>
        <w:rPr>
          <w:rFonts w:ascii="Times New Roman" w:eastAsia="標楷體" w:hAnsi="Times New Roman" w:cs="Times New Roman"/>
        </w:rPr>
      </w:pPr>
    </w:p>
    <w:sectPr w:rsidR="00F012BB">
      <w:footerReference w:type="default" r:id="rId11"/>
      <w:pgSz w:w="11906" w:h="16838"/>
      <w:pgMar w:top="1134" w:right="1134" w:bottom="1134" w:left="1134" w:header="72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產業組 林建宇" w:date="2024-09-13T15:50:00Z" w:initials="產業組 林建宇">
    <w:p w14:paraId="0B11433B" w14:textId="77777777" w:rsidR="00F012BB" w:rsidRDefault="00000000">
      <w:pPr>
        <w:pStyle w:val="ad"/>
      </w:pPr>
      <w:r>
        <w:rPr>
          <w:rStyle w:val="af4"/>
        </w:rPr>
        <w:annotationRef/>
      </w:r>
      <w:r>
        <w:t>此為範例，請注意更新資料年度。</w:t>
      </w:r>
    </w:p>
  </w:comment>
  <w:comment w:id="2" w:author="產業組 鍾明衛" w:date="2022-10-04T15:03:00Z" w:initials="產業組 鍾明衛">
    <w:p w14:paraId="304CE8F4" w14:textId="77777777" w:rsidR="00F012BB" w:rsidRDefault="00000000">
      <w:r>
        <w:rPr>
          <w:rStyle w:val="af4"/>
        </w:rPr>
        <w:annotationRef/>
      </w:r>
      <w:r>
        <w:t>質化指標不可以用數字來衡量或排序。</w:t>
      </w:r>
    </w:p>
    <w:p w14:paraId="1191AD2A" w14:textId="77777777" w:rsidR="00F012BB" w:rsidRDefault="00000000">
      <w:r>
        <w:t>可從提升球隊品牌形象、在地風氣、球迷忠誠度、社群參與、媒體關注度、球員薪資水準等等</w:t>
      </w:r>
      <w:proofErr w:type="gramStart"/>
      <w:r>
        <w:t>面向敘寫</w:t>
      </w:r>
      <w:proofErr w:type="gramEnd"/>
      <w:r>
        <w:t>。</w:t>
      </w:r>
    </w:p>
  </w:comment>
  <w:comment w:id="3" w:author="產業組 鍾明衛" w:date="2022-10-04T15:04:00Z" w:initials="產業組 鍾明衛">
    <w:p w14:paraId="1CACD38A" w14:textId="77777777" w:rsidR="00F012BB" w:rsidRDefault="00000000">
      <w:r>
        <w:rPr>
          <w:rStyle w:val="af4"/>
        </w:rPr>
        <w:annotationRef/>
      </w:r>
      <w:r>
        <w:t>可用數字來衡量或排序</w:t>
      </w:r>
    </w:p>
  </w:comment>
  <w:comment w:id="4" w:author="產業組 林建宇" w:date="2024-09-13T15:51:00Z" w:initials="產業組 林建宇">
    <w:p w14:paraId="2D3C2036" w14:textId="77777777" w:rsidR="00F012BB" w:rsidRDefault="00000000">
      <w:pPr>
        <w:pStyle w:val="ad"/>
      </w:pPr>
      <w:r>
        <w:rPr>
          <w:rStyle w:val="af4"/>
        </w:rPr>
        <w:annotationRef/>
      </w:r>
      <w:r>
        <w:t>此為範例，請注意更新資料年度。</w:t>
      </w:r>
    </w:p>
  </w:comment>
  <w:comment w:id="5" w:author="產業組 林建宇" w:date="2024-09-13T15:51:00Z" w:initials="產業組 林建宇">
    <w:p w14:paraId="76AC919A" w14:textId="77777777" w:rsidR="00F012BB" w:rsidRDefault="00000000">
      <w:pPr>
        <w:pStyle w:val="ad"/>
      </w:pPr>
      <w:r>
        <w:rPr>
          <w:rStyle w:val="af4"/>
        </w:rPr>
        <w:annotationRef/>
      </w:r>
      <w:r>
        <w:t>此為範例，請注意更新資料年度。</w:t>
      </w:r>
    </w:p>
  </w:comment>
  <w:comment w:id="6" w:author="產業組 鍾明衛" w:date="2022-10-04T15:09:00Z" w:initials="產業組 鍾明衛">
    <w:p w14:paraId="555AC6EB" w14:textId="77777777" w:rsidR="00F012BB" w:rsidRDefault="00000000">
      <w:r>
        <w:rPr>
          <w:rStyle w:val="af4"/>
        </w:rPr>
        <w:annotationRef/>
      </w:r>
      <w:r>
        <w:t>說明經費編列用途與編列基礎。</w:t>
      </w:r>
    </w:p>
  </w:comment>
  <w:comment w:id="7" w:author="產業組 鍾明衛" w:date="2022-10-04T15:07:00Z" w:initials="產業組 鍾明衛">
    <w:p w14:paraId="168DF685" w14:textId="77777777" w:rsidR="00F012BB" w:rsidRDefault="00000000">
      <w:r>
        <w:rPr>
          <w:rStyle w:val="af4"/>
        </w:rPr>
        <w:annotationRef/>
      </w:r>
      <w:r>
        <w:t>1.</w:t>
      </w:r>
      <w:r>
        <w:t>比賽場次、進場人數、贊助商家數為主要考核點。</w:t>
      </w:r>
    </w:p>
    <w:p w14:paraId="5F371B4A" w14:textId="77777777" w:rsidR="00F012BB" w:rsidRDefault="00000000">
      <w:r>
        <w:t>2.</w:t>
      </w:r>
      <w:r>
        <w:t>門票金額等若非主要考核點，請用括號註記。</w:t>
      </w:r>
    </w:p>
    <w:p w14:paraId="601ED0F4" w14:textId="77777777" w:rsidR="00F012BB" w:rsidRDefault="00000000">
      <w:r>
        <w:t>3.</w:t>
      </w:r>
      <w:r>
        <w:t>各項指標應可衡量並可計算出收入金額，並與總金額約略相等。</w:t>
      </w:r>
    </w:p>
  </w:comment>
  <w:comment w:id="8" w:author="產業組 林建宇" w:date="2024-09-13T15:51:00Z" w:initials="產業組 林建宇">
    <w:p w14:paraId="19431023" w14:textId="77777777" w:rsidR="00F012BB" w:rsidRDefault="00000000">
      <w:pPr>
        <w:pStyle w:val="ad"/>
      </w:pPr>
      <w:r>
        <w:rPr>
          <w:rStyle w:val="af4"/>
        </w:rPr>
        <w:annotationRef/>
      </w:r>
      <w:r>
        <w:t>此為範例，請注意更新資料年度。</w:t>
      </w:r>
    </w:p>
  </w:comment>
  <w:comment w:id="9" w:author="產業組 林建宇" w:date="2024-09-13T15:51:00Z" w:initials="產業組 林建宇">
    <w:p w14:paraId="3CCECCFB" w14:textId="77777777" w:rsidR="00F012BB" w:rsidRDefault="00000000">
      <w:pPr>
        <w:pStyle w:val="ad"/>
      </w:pPr>
      <w:r>
        <w:rPr>
          <w:rStyle w:val="af4"/>
        </w:rPr>
        <w:annotationRef/>
      </w:r>
      <w:r>
        <w:t>此為範例，請注意更新資料年度。</w:t>
      </w:r>
    </w:p>
  </w:comment>
  <w:comment w:id="10" w:author="產業組 鍾明衛" w:date="2022-10-04T15:38:00Z" w:initials="產業組 鍾明衛">
    <w:p w14:paraId="649A90D9" w14:textId="77777777" w:rsidR="00F012BB" w:rsidRDefault="00000000">
      <w:r>
        <w:rPr>
          <w:rStyle w:val="af4"/>
        </w:rPr>
        <w:annotationRef/>
      </w:r>
      <w:r>
        <w:t>應說明與量化目標、收入項目之關係，在說明實施方式及內容。</w:t>
      </w:r>
    </w:p>
    <w:p w14:paraId="18B3C29B" w14:textId="77777777" w:rsidR="00F012BB" w:rsidRDefault="00000000">
      <w:r>
        <w:t>委員建議若要強化行銷、屬地主義連結，可參考以下報導：</w:t>
      </w:r>
    </w:p>
    <w:p w14:paraId="433D6BC1" w14:textId="77777777" w:rsidR="00F012BB" w:rsidRDefault="00000000">
      <w:r>
        <w:t>勇士滿座率達</w:t>
      </w:r>
      <w:r>
        <w:t>99.9%</w:t>
      </w:r>
      <w:r>
        <w:t>，</w:t>
      </w:r>
      <w:proofErr w:type="gramStart"/>
      <w:r>
        <w:t>攻城師商品</w:t>
      </w:r>
      <w:proofErr w:type="gramEnd"/>
      <w:r>
        <w:t>超熱賣</w:t>
      </w:r>
      <w:r>
        <w:t>!</w:t>
      </w:r>
    </w:p>
    <w:p w14:paraId="265BB4D7" w14:textId="77777777" w:rsidR="00F012BB" w:rsidRDefault="00000000">
      <w:proofErr w:type="gramStart"/>
      <w:r>
        <w:t>一</w:t>
      </w:r>
      <w:proofErr w:type="gramEnd"/>
      <w:r>
        <w:t>起步就得分</w:t>
      </w:r>
      <w:r>
        <w:t>!</w:t>
      </w:r>
      <w:r>
        <w:t>新竹</w:t>
      </w:r>
      <w:proofErr w:type="gramStart"/>
      <w:r>
        <w:t>攻城獅品牌</w:t>
      </w:r>
      <w:proofErr w:type="gramEnd"/>
      <w:r>
        <w:t>經營</w:t>
      </w:r>
      <w:r>
        <w:t>3</w:t>
      </w:r>
      <w:r>
        <w:t>策略，點燃你的籃球夢</w:t>
      </w:r>
    </w:p>
    <w:p w14:paraId="27355AE6" w14:textId="77777777" w:rsidR="00F012BB" w:rsidRDefault="00000000">
      <w:r>
        <w:t>企業參訪、素人海選</w:t>
      </w:r>
      <w:r>
        <w:t xml:space="preserve"> </w:t>
      </w:r>
      <w:proofErr w:type="gramStart"/>
      <w:r>
        <w:t>攻城獅強化</w:t>
      </w:r>
      <w:proofErr w:type="gramEnd"/>
      <w:r>
        <w:t>在地連結</w:t>
      </w:r>
      <w:r>
        <w:t>!</w:t>
      </w:r>
    </w:p>
    <w:p w14:paraId="44ECE546" w14:textId="77777777" w:rsidR="00F012BB" w:rsidRDefault="00000000">
      <w:r>
        <w:t>以小眾的力量銷售</w:t>
      </w:r>
      <w:r>
        <w:t>Aspire one</w:t>
      </w:r>
      <w:r>
        <w:t>將搶過</w:t>
      </w:r>
      <w:proofErr w:type="spellStart"/>
      <w:r>
        <w:t>Eee</w:t>
      </w:r>
      <w:proofErr w:type="spellEnd"/>
      <w:r>
        <w:t xml:space="preserve"> PC</w:t>
      </w:r>
      <w:r>
        <w:t>的銷售</w:t>
      </w:r>
      <w:r>
        <w:t>?</w:t>
      </w:r>
    </w:p>
    <w:p w14:paraId="4F247F5A" w14:textId="77777777" w:rsidR="00F012BB" w:rsidRDefault="00000000">
      <w:r>
        <w:t>用產品思維經營球迷後援會</w:t>
      </w:r>
      <w:r>
        <w:t>!</w:t>
      </w:r>
    </w:p>
  </w:comment>
  <w:comment w:id="11" w:author="產業組 林建宇" w:date="2024-09-13T11:44:00Z" w:initials="產業組 林建宇">
    <w:p w14:paraId="46368021" w14:textId="77777777" w:rsidR="00F012BB" w:rsidRDefault="00000000">
      <w:pPr>
        <w:pStyle w:val="ad"/>
      </w:pPr>
      <w:r>
        <w:rPr>
          <w:rStyle w:val="af4"/>
        </w:rPr>
        <w:annotationRef/>
      </w:r>
      <w:r>
        <w:t>應說明經費計算方式，以利後續審查作業。</w:t>
      </w:r>
    </w:p>
  </w:comment>
  <w:comment w:id="12" w:author="產業組 林建宇" w:date="2024-09-13T11:53:00Z" w:initials="產業組 林建宇">
    <w:p w14:paraId="33DE4310" w14:textId="77777777" w:rsidR="00F012BB" w:rsidRDefault="00000000">
      <w:pPr>
        <w:pStyle w:val="ad"/>
      </w:pPr>
      <w:r>
        <w:rPr>
          <w:rStyle w:val="af4"/>
        </w:rPr>
        <w:annotationRef/>
      </w:r>
      <w:r>
        <w:t>應說明經費計算方式，以及說明與前列「年度經費支出」之差異</w:t>
      </w:r>
      <w:r>
        <w:t>(</w:t>
      </w:r>
      <w:r>
        <w:t>如教練團組成人數</w:t>
      </w:r>
      <w:proofErr w:type="gramStart"/>
      <w:r>
        <w:t>不</w:t>
      </w:r>
      <w:proofErr w:type="gramEnd"/>
      <w:r>
        <w:t>同等</w:t>
      </w:r>
      <w:r>
        <w:t>)</w:t>
      </w:r>
      <w:r>
        <w:t>，以利後續審查及核撥作業。</w:t>
      </w:r>
    </w:p>
  </w:comment>
  <w:comment w:id="13" w:author="產業組 鍾明衛" w:date="2022-10-04T19:18:00Z" w:initials="產業組 鍾明衛">
    <w:p w14:paraId="70BF84D1" w14:textId="77777777" w:rsidR="00F012BB" w:rsidRDefault="00000000">
      <w:r>
        <w:rPr>
          <w:rStyle w:val="af4"/>
        </w:rPr>
        <w:annotationRef/>
      </w:r>
      <w:r>
        <w:t>建議先檢視第三大項績效指標設定之妥適</w:t>
      </w:r>
      <w:proofErr w:type="gramStart"/>
      <w:r>
        <w:t>性後，綜整</w:t>
      </w:r>
      <w:proofErr w:type="gramEnd"/>
      <w:r>
        <w:t>並列點</w:t>
      </w:r>
      <w:proofErr w:type="gramStart"/>
      <w:r>
        <w:t>臚列本</w:t>
      </w:r>
      <w:proofErr w:type="gramEnd"/>
      <w:r>
        <w:t>計畫質化指標及量化指標。如</w:t>
      </w:r>
      <w:r>
        <w:t>: (</w:t>
      </w:r>
      <w:proofErr w:type="gramStart"/>
      <w:r>
        <w:t>一</w:t>
      </w:r>
      <w:proofErr w:type="gramEnd"/>
      <w:r>
        <w:t>)</w:t>
      </w:r>
      <w:r>
        <w:t>質化指標</w:t>
      </w:r>
      <w:r>
        <w:t>:</w:t>
      </w:r>
      <w:r>
        <w:t>推動地方籃球風氣。</w:t>
      </w:r>
    </w:p>
    <w:p w14:paraId="7E57351E" w14:textId="77777777" w:rsidR="00F012BB" w:rsidRDefault="00000000">
      <w:r>
        <w:t>(</w:t>
      </w:r>
      <w:r>
        <w:t>二</w:t>
      </w:r>
      <w:r>
        <w:t>)</w:t>
      </w:r>
      <w:r>
        <w:t>預計全年度各賽事共</w:t>
      </w:r>
      <w:r>
        <w:t>xx</w:t>
      </w:r>
      <w:r>
        <w:t>場，進場人數達</w:t>
      </w:r>
      <w:proofErr w:type="spellStart"/>
      <w:r>
        <w:t>xx,xxx</w:t>
      </w:r>
      <w:proofErr w:type="spellEnd"/>
      <w:r>
        <w:t>人。</w:t>
      </w:r>
    </w:p>
  </w:comment>
  <w:comment w:id="14" w:author="產業組 鍾明衛" w:date="2022-10-04T19:21:00Z" w:initials="產業組 鍾明衛">
    <w:p w14:paraId="729DAF04" w14:textId="77777777" w:rsidR="00F012BB" w:rsidRDefault="00000000">
      <w:r>
        <w:rPr>
          <w:rStyle w:val="af4"/>
        </w:rPr>
        <w:annotationRef/>
      </w:r>
      <w:r>
        <w:t>說明經費募集來源，若無相關規劃也沒關係。</w:t>
      </w:r>
    </w:p>
    <w:p w14:paraId="265014AE" w14:textId="77777777" w:rsidR="00F012BB" w:rsidRDefault="00000000">
      <w:r>
        <w:t>惟以實務操作來看，貴單位提出申請時，即可先行找尋相關捐贈單位，以利其進行評估，增加捐贈意願。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11433B" w15:done="0"/>
  <w15:commentEx w15:paraId="1191AD2A" w15:done="0"/>
  <w15:commentEx w15:paraId="1CACD38A" w15:done="0"/>
  <w15:commentEx w15:paraId="2D3C2036" w15:done="0"/>
  <w15:commentEx w15:paraId="76AC919A" w15:done="0"/>
  <w15:commentEx w15:paraId="555AC6EB" w15:done="0"/>
  <w15:commentEx w15:paraId="601ED0F4" w15:done="0"/>
  <w15:commentEx w15:paraId="19431023" w15:done="0"/>
  <w15:commentEx w15:paraId="3CCECCFB" w15:done="0"/>
  <w15:commentEx w15:paraId="4F247F5A" w15:done="0"/>
  <w15:commentEx w15:paraId="46368021" w15:done="0"/>
  <w15:commentEx w15:paraId="33DE4310" w15:done="0"/>
  <w15:commentEx w15:paraId="7E57351E" w15:done="0"/>
  <w15:commentEx w15:paraId="265014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11433B" w16cid:durableId="2A8EDDC1"/>
  <w16cid:commentId w16cid:paraId="1191AD2A" w16cid:durableId="2A8E8A81"/>
  <w16cid:commentId w16cid:paraId="1CACD38A" w16cid:durableId="2A8E8A82"/>
  <w16cid:commentId w16cid:paraId="2D3C2036" w16cid:durableId="2A8EDDE9"/>
  <w16cid:commentId w16cid:paraId="76AC919A" w16cid:durableId="2A8EDDF3"/>
  <w16cid:commentId w16cid:paraId="555AC6EB" w16cid:durableId="2A8E8A83"/>
  <w16cid:commentId w16cid:paraId="601ED0F4" w16cid:durableId="2A8E8A84"/>
  <w16cid:commentId w16cid:paraId="19431023" w16cid:durableId="2A95A7DF"/>
  <w16cid:commentId w16cid:paraId="3CCECCFB" w16cid:durableId="2A95A7E5"/>
  <w16cid:commentId w16cid:paraId="4F247F5A" w16cid:durableId="2A8E8A85"/>
  <w16cid:commentId w16cid:paraId="46368021" w16cid:durableId="2A8EA41A"/>
  <w16cid:commentId w16cid:paraId="33DE4310" w16cid:durableId="2A8EA61C"/>
  <w16cid:commentId w16cid:paraId="7E57351E" w16cid:durableId="2A8E8A86"/>
  <w16cid:commentId w16cid:paraId="265014AE" w16cid:durableId="2A8E8A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F69D" w14:textId="77777777" w:rsidR="00FE7FD9" w:rsidRDefault="00FE7FD9">
      <w:r>
        <w:separator/>
      </w:r>
    </w:p>
  </w:endnote>
  <w:endnote w:type="continuationSeparator" w:id="0">
    <w:p w14:paraId="7D3A3D89" w14:textId="77777777" w:rsidR="00FE7FD9" w:rsidRDefault="00FE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9E40" w14:textId="77777777"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08A4F31E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FBE9" w14:textId="77777777"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6527FCC6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034D" w14:textId="77777777" w:rsidR="00FE7FD9" w:rsidRDefault="00FE7FD9">
      <w:r>
        <w:rPr>
          <w:color w:val="000000"/>
        </w:rPr>
        <w:separator/>
      </w:r>
    </w:p>
  </w:footnote>
  <w:footnote w:type="continuationSeparator" w:id="0">
    <w:p w14:paraId="65E30B06" w14:textId="77777777" w:rsidR="00FE7FD9" w:rsidRDefault="00FE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DEB"/>
    <w:multiLevelType w:val="multilevel"/>
    <w:tmpl w:val="E4C017A4"/>
    <w:styleLink w:val="WWNum13"/>
    <w:lvl w:ilvl="0">
      <w:start w:val="1"/>
      <w:numFmt w:val="japaneseCounting"/>
      <w:lvlText w:val="(%1)"/>
      <w:lvlJc w:val="left"/>
      <w:pPr>
        <w:ind w:left="1200" w:hanging="480"/>
      </w:pPr>
      <w:rPr>
        <w:lang w:eastAsia="zh-TW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F37DFF"/>
    <w:multiLevelType w:val="multilevel"/>
    <w:tmpl w:val="056A1E06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5C98"/>
    <w:multiLevelType w:val="multilevel"/>
    <w:tmpl w:val="E27AE6A8"/>
    <w:styleLink w:val="WWNum8"/>
    <w:lvl w:ilvl="0">
      <w:start w:val="1"/>
      <w:numFmt w:val="japaneseCounting"/>
      <w:lvlText w:val="(%1)"/>
      <w:lvlJc w:val="left"/>
      <w:pPr>
        <w:ind w:left="1507" w:hanging="720"/>
      </w:pPr>
    </w:lvl>
    <w:lvl w:ilvl="1">
      <w:start w:val="1"/>
      <w:numFmt w:val="ideographTraditional"/>
      <w:lvlText w:val="%2、"/>
      <w:lvlJc w:val="left"/>
      <w:pPr>
        <w:ind w:left="1747" w:hanging="480"/>
      </w:pPr>
    </w:lvl>
    <w:lvl w:ilvl="2">
      <w:start w:val="1"/>
      <w:numFmt w:val="lowerRoman"/>
      <w:lvlText w:val="%3."/>
      <w:lvlJc w:val="right"/>
      <w:pPr>
        <w:ind w:left="2227" w:hanging="480"/>
      </w:pPr>
    </w:lvl>
    <w:lvl w:ilvl="3">
      <w:start w:val="1"/>
      <w:numFmt w:val="decimal"/>
      <w:lvlText w:val="%4."/>
      <w:lvlJc w:val="left"/>
      <w:pPr>
        <w:ind w:left="2707" w:hanging="480"/>
      </w:pPr>
    </w:lvl>
    <w:lvl w:ilvl="4">
      <w:start w:val="1"/>
      <w:numFmt w:val="ideographTraditional"/>
      <w:lvlText w:val="%5、"/>
      <w:lvlJc w:val="left"/>
      <w:pPr>
        <w:ind w:left="3187" w:hanging="480"/>
      </w:pPr>
    </w:lvl>
    <w:lvl w:ilvl="5">
      <w:start w:val="1"/>
      <w:numFmt w:val="lowerRoman"/>
      <w:lvlText w:val="%6."/>
      <w:lvlJc w:val="right"/>
      <w:pPr>
        <w:ind w:left="3667" w:hanging="480"/>
      </w:pPr>
    </w:lvl>
    <w:lvl w:ilvl="6">
      <w:start w:val="1"/>
      <w:numFmt w:val="decimal"/>
      <w:lvlText w:val="%7."/>
      <w:lvlJc w:val="left"/>
      <w:pPr>
        <w:ind w:left="4147" w:hanging="480"/>
      </w:pPr>
    </w:lvl>
    <w:lvl w:ilvl="7">
      <w:start w:val="1"/>
      <w:numFmt w:val="ideographTraditional"/>
      <w:lvlText w:val="%8、"/>
      <w:lvlJc w:val="left"/>
      <w:pPr>
        <w:ind w:left="4627" w:hanging="480"/>
      </w:pPr>
    </w:lvl>
    <w:lvl w:ilvl="8">
      <w:start w:val="1"/>
      <w:numFmt w:val="lowerRoman"/>
      <w:lvlText w:val="%9."/>
      <w:lvlJc w:val="right"/>
      <w:pPr>
        <w:ind w:left="5107" w:hanging="480"/>
      </w:pPr>
    </w:lvl>
  </w:abstractNum>
  <w:abstractNum w:abstractNumId="3" w15:restartNumberingAfterBreak="0">
    <w:nsid w:val="0BC82FAA"/>
    <w:multiLevelType w:val="multilevel"/>
    <w:tmpl w:val="8A6E2954"/>
    <w:styleLink w:val="WWNum28"/>
    <w:lvl w:ilvl="0">
      <w:start w:val="4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A0492"/>
    <w:multiLevelType w:val="multilevel"/>
    <w:tmpl w:val="E3586A4E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D6541"/>
    <w:multiLevelType w:val="multilevel"/>
    <w:tmpl w:val="97A2C986"/>
    <w:styleLink w:val="WWNum5"/>
    <w:lvl w:ilvl="0">
      <w:start w:val="1"/>
      <w:numFmt w:val="japaneseCounting"/>
      <w:lvlText w:val="(%1)"/>
      <w:lvlJc w:val="left"/>
      <w:pPr>
        <w:ind w:left="1110" w:hanging="39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33B6ACF"/>
    <w:multiLevelType w:val="multilevel"/>
    <w:tmpl w:val="9D508518"/>
    <w:styleLink w:val="WWNum17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62D25"/>
    <w:multiLevelType w:val="multilevel"/>
    <w:tmpl w:val="46A82574"/>
    <w:styleLink w:val="WWNum3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A570D"/>
    <w:multiLevelType w:val="multilevel"/>
    <w:tmpl w:val="8D9AC672"/>
    <w:styleLink w:val="WWNum3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D03CF7"/>
    <w:multiLevelType w:val="multilevel"/>
    <w:tmpl w:val="1326FBDC"/>
    <w:styleLink w:val="WWNum31"/>
    <w:lvl w:ilvl="0">
      <w:start w:val="1"/>
      <w:numFmt w:val="decimal"/>
      <w:lvlText w:val="(%1)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20B287A"/>
    <w:multiLevelType w:val="multilevel"/>
    <w:tmpl w:val="39189B18"/>
    <w:styleLink w:val="WWNum29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1B48AC"/>
    <w:multiLevelType w:val="multilevel"/>
    <w:tmpl w:val="5EA0AFE2"/>
    <w:styleLink w:val="WWNum14"/>
    <w:lvl w:ilvl="0">
      <w:numFmt w:val="bullet"/>
      <w:lvlText w:val="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24620AE7"/>
    <w:multiLevelType w:val="multilevel"/>
    <w:tmpl w:val="03F2CD16"/>
    <w:styleLink w:val="WWNum10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8C1F74"/>
    <w:multiLevelType w:val="multilevel"/>
    <w:tmpl w:val="9F90C5A2"/>
    <w:styleLink w:val="WWNum2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E22154"/>
    <w:multiLevelType w:val="multilevel"/>
    <w:tmpl w:val="AAB214EC"/>
    <w:styleLink w:val="WWNum3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191AEA"/>
    <w:multiLevelType w:val="multilevel"/>
    <w:tmpl w:val="5DBC931A"/>
    <w:styleLink w:val="WWNum16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971F5"/>
    <w:multiLevelType w:val="multilevel"/>
    <w:tmpl w:val="0B82E85A"/>
    <w:styleLink w:val="WWNum19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585B20"/>
    <w:multiLevelType w:val="multilevel"/>
    <w:tmpl w:val="693828D8"/>
    <w:styleLink w:val="WWNum2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267833"/>
    <w:multiLevelType w:val="multilevel"/>
    <w:tmpl w:val="324AC6FC"/>
    <w:styleLink w:val="WWNum9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9" w15:restartNumberingAfterBreak="0">
    <w:nsid w:val="4A710559"/>
    <w:multiLevelType w:val="multilevel"/>
    <w:tmpl w:val="B284FC82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5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316924"/>
    <w:multiLevelType w:val="multilevel"/>
    <w:tmpl w:val="B650D32A"/>
    <w:styleLink w:val="WWNum3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1D602D"/>
    <w:multiLevelType w:val="multilevel"/>
    <w:tmpl w:val="CDEEC2FA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4536B6"/>
    <w:multiLevelType w:val="multilevel"/>
    <w:tmpl w:val="543C1144"/>
    <w:styleLink w:val="WWNum27"/>
    <w:lvl w:ilvl="0">
      <w:start w:val="1"/>
      <w:numFmt w:val="japaneseCounting"/>
      <w:lvlText w:val="(%1)"/>
      <w:lvlJc w:val="left"/>
      <w:pPr>
        <w:ind w:left="1320" w:hanging="60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5AC7B66"/>
    <w:multiLevelType w:val="multilevel"/>
    <w:tmpl w:val="7DA45F5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820D94"/>
    <w:multiLevelType w:val="multilevel"/>
    <w:tmpl w:val="1E22527A"/>
    <w:styleLink w:val="WWNum21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8376C6E"/>
    <w:multiLevelType w:val="multilevel"/>
    <w:tmpl w:val="EDC8B0A8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C77012"/>
    <w:multiLevelType w:val="multilevel"/>
    <w:tmpl w:val="411058B8"/>
    <w:styleLink w:val="WWNum11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Times New Roman" w:hAnsi="標楷體" w:cs="Times New Roman"/>
        <w:sz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105CE6"/>
    <w:multiLevelType w:val="multilevel"/>
    <w:tmpl w:val="7E748FB6"/>
    <w:styleLink w:val="WWNum6"/>
    <w:lvl w:ilvl="0">
      <w:start w:val="1"/>
      <w:numFmt w:val="japaneseCounting"/>
      <w:lvlText w:val="(%1)"/>
      <w:lvlJc w:val="left"/>
      <w:pPr>
        <w:ind w:left="1110" w:hanging="39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ACE5EE4"/>
    <w:multiLevelType w:val="multilevel"/>
    <w:tmpl w:val="21B4531E"/>
    <w:styleLink w:val="WWNum4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/>
        <w:b/>
        <w:color w:val="auto"/>
        <w:sz w:val="32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5F0F9B"/>
    <w:multiLevelType w:val="multilevel"/>
    <w:tmpl w:val="A08A4EF6"/>
    <w:styleLink w:val="WWNum20"/>
    <w:lvl w:ilvl="0">
      <w:start w:val="1"/>
      <w:numFmt w:val="japaneseCounting"/>
      <w:lvlText w:val="(%1)"/>
      <w:lvlJc w:val="left"/>
      <w:pPr>
        <w:ind w:left="1200" w:hanging="480"/>
      </w:pPr>
      <w:rPr>
        <w:lang w:eastAsia="zh-TW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FDC421D"/>
    <w:multiLevelType w:val="multilevel"/>
    <w:tmpl w:val="3A2861CA"/>
    <w:styleLink w:val="WWNum7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2"/>
      <w:numFmt w:val="japaneseCounting"/>
      <w:lvlText w:val="%2、"/>
      <w:lvlJc w:val="left"/>
      <w:pPr>
        <w:ind w:left="1920" w:hanging="72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FFF17B1"/>
    <w:multiLevelType w:val="multilevel"/>
    <w:tmpl w:val="1EC8588A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037AD6"/>
    <w:multiLevelType w:val="multilevel"/>
    <w:tmpl w:val="629EBB3A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0B661D"/>
    <w:multiLevelType w:val="multilevel"/>
    <w:tmpl w:val="8338825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6D5062E9"/>
    <w:multiLevelType w:val="multilevel"/>
    <w:tmpl w:val="92763C26"/>
    <w:styleLink w:val="WWNum18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950A8F"/>
    <w:multiLevelType w:val="multilevel"/>
    <w:tmpl w:val="605E7010"/>
    <w:styleLink w:val="WWNum32"/>
    <w:lvl w:ilvl="0">
      <w:start w:val="1"/>
      <w:numFmt w:val="decimal"/>
      <w:lvlText w:val="(%1)"/>
      <w:lvlJc w:val="left"/>
      <w:pPr>
        <w:ind w:left="600" w:hanging="480"/>
      </w:pPr>
      <w:rPr>
        <w:rFonts w:ascii="標楷體" w:hAnsi="標楷體"/>
        <w:color w:val="auto"/>
        <w:sz w:val="28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76B02220"/>
    <w:multiLevelType w:val="multilevel"/>
    <w:tmpl w:val="BB0068AA"/>
    <w:styleLink w:val="WWNum37"/>
    <w:lvl w:ilvl="0">
      <w:start w:val="1"/>
      <w:numFmt w:val="japaneseCounting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BC0349"/>
    <w:multiLevelType w:val="multilevel"/>
    <w:tmpl w:val="78EEA85E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08439696">
    <w:abstractNumId w:val="33"/>
  </w:num>
  <w:num w:numId="2" w16cid:durableId="230313743">
    <w:abstractNumId w:val="32"/>
  </w:num>
  <w:num w:numId="3" w16cid:durableId="616301095">
    <w:abstractNumId w:val="13"/>
  </w:num>
  <w:num w:numId="4" w16cid:durableId="1108936779">
    <w:abstractNumId w:val="20"/>
  </w:num>
  <w:num w:numId="5" w16cid:durableId="469133309">
    <w:abstractNumId w:val="28"/>
  </w:num>
  <w:num w:numId="6" w16cid:durableId="1684279465">
    <w:abstractNumId w:val="5"/>
  </w:num>
  <w:num w:numId="7" w16cid:durableId="1486047869">
    <w:abstractNumId w:val="27"/>
  </w:num>
  <w:num w:numId="8" w16cid:durableId="108550376">
    <w:abstractNumId w:val="30"/>
  </w:num>
  <w:num w:numId="9" w16cid:durableId="996808520">
    <w:abstractNumId w:val="2"/>
  </w:num>
  <w:num w:numId="10" w16cid:durableId="668868844">
    <w:abstractNumId w:val="18"/>
  </w:num>
  <w:num w:numId="11" w16cid:durableId="488639740">
    <w:abstractNumId w:val="12"/>
  </w:num>
  <w:num w:numId="12" w16cid:durableId="30687317">
    <w:abstractNumId w:val="26"/>
  </w:num>
  <w:num w:numId="13" w16cid:durableId="1180123246">
    <w:abstractNumId w:val="19"/>
  </w:num>
  <w:num w:numId="14" w16cid:durableId="846601975">
    <w:abstractNumId w:val="0"/>
  </w:num>
  <w:num w:numId="15" w16cid:durableId="2043049329">
    <w:abstractNumId w:val="11"/>
  </w:num>
  <w:num w:numId="16" w16cid:durableId="1376155903">
    <w:abstractNumId w:val="21"/>
  </w:num>
  <w:num w:numId="17" w16cid:durableId="2026323718">
    <w:abstractNumId w:val="15"/>
  </w:num>
  <w:num w:numId="18" w16cid:durableId="979773284">
    <w:abstractNumId w:val="6"/>
  </w:num>
  <w:num w:numId="19" w16cid:durableId="81419951">
    <w:abstractNumId w:val="34"/>
  </w:num>
  <w:num w:numId="20" w16cid:durableId="546643761">
    <w:abstractNumId w:val="16"/>
  </w:num>
  <w:num w:numId="21" w16cid:durableId="1635285062">
    <w:abstractNumId w:val="29"/>
  </w:num>
  <w:num w:numId="22" w16cid:durableId="1242250340">
    <w:abstractNumId w:val="24"/>
  </w:num>
  <w:num w:numId="23" w16cid:durableId="1134366408">
    <w:abstractNumId w:val="37"/>
  </w:num>
  <w:num w:numId="24" w16cid:durableId="468977646">
    <w:abstractNumId w:val="17"/>
  </w:num>
  <w:num w:numId="25" w16cid:durableId="367220586">
    <w:abstractNumId w:val="23"/>
  </w:num>
  <w:num w:numId="26" w16cid:durableId="1412771145">
    <w:abstractNumId w:val="25"/>
  </w:num>
  <w:num w:numId="27" w16cid:durableId="185414083">
    <w:abstractNumId w:val="1"/>
  </w:num>
  <w:num w:numId="28" w16cid:durableId="1905217841">
    <w:abstractNumId w:val="22"/>
  </w:num>
  <w:num w:numId="29" w16cid:durableId="83843165">
    <w:abstractNumId w:val="3"/>
  </w:num>
  <w:num w:numId="30" w16cid:durableId="1237472035">
    <w:abstractNumId w:val="10"/>
  </w:num>
  <w:num w:numId="31" w16cid:durableId="1525366551">
    <w:abstractNumId w:val="8"/>
  </w:num>
  <w:num w:numId="32" w16cid:durableId="1475608598">
    <w:abstractNumId w:val="9"/>
  </w:num>
  <w:num w:numId="33" w16cid:durableId="1242717830">
    <w:abstractNumId w:val="35"/>
  </w:num>
  <w:num w:numId="34" w16cid:durableId="679233951">
    <w:abstractNumId w:val="7"/>
  </w:num>
  <w:num w:numId="35" w16cid:durableId="1620991987">
    <w:abstractNumId w:val="4"/>
  </w:num>
  <w:num w:numId="36" w16cid:durableId="2073306039">
    <w:abstractNumId w:val="14"/>
  </w:num>
  <w:num w:numId="37" w16cid:durableId="238559543">
    <w:abstractNumId w:val="31"/>
  </w:num>
  <w:num w:numId="38" w16cid:durableId="1310137715">
    <w:abstractNumId w:val="36"/>
  </w:num>
  <w:num w:numId="39" w16cid:durableId="1411846724">
    <w:abstractNumId w:val="19"/>
    <w:lvlOverride w:ilvl="0">
      <w:startOverride w:val="1"/>
    </w:lvlOverride>
  </w:num>
  <w:num w:numId="40" w16cid:durableId="909580850">
    <w:abstractNumId w:val="28"/>
    <w:lvlOverride w:ilvl="0">
      <w:startOverride w:val="1"/>
    </w:lvlOverride>
  </w:num>
  <w:num w:numId="41" w16cid:durableId="1343774841">
    <w:abstractNumId w:val="22"/>
    <w:lvlOverride w:ilvl="0">
      <w:startOverride w:val="1"/>
    </w:lvlOverride>
  </w:num>
  <w:num w:numId="42" w16cid:durableId="396705008">
    <w:abstractNumId w:val="36"/>
    <w:lvlOverride w:ilvl="0">
      <w:startOverride w:val="1"/>
    </w:lvlOverride>
  </w:num>
  <w:num w:numId="43" w16cid:durableId="187079935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12BB"/>
    <w:rsid w:val="00812D34"/>
    <w:rsid w:val="00B34AF0"/>
    <w:rsid w:val="00F012BB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4CB0"/>
  <w15:docId w15:val="{3137F2D4-7538-4BFC-8EA6-CDC5F3D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Standard"/>
    <w:rPr>
      <w:rFonts w:ascii="Calibri Light" w:hAnsi="Calibri Light" w:cs="Mangal"/>
      <w:sz w:val="18"/>
      <w:szCs w:val="18"/>
    </w:rPr>
  </w:style>
  <w:style w:type="paragraph" w:styleId="ab">
    <w:name w:val="Plain Text"/>
    <w:basedOn w:val="Standard"/>
    <w:rPr>
      <w:rFonts w:ascii="細明體" w:eastAsia="細明體" w:hAnsi="細明體" w:cs="Times New Roman"/>
      <w:kern w:val="3"/>
      <w:szCs w:val="20"/>
    </w:rPr>
  </w:style>
  <w:style w:type="paragraph" w:styleId="ac">
    <w:name w:val="Date"/>
    <w:basedOn w:val="Standard"/>
    <w:next w:val="Standard"/>
    <w:pPr>
      <w:jc w:val="right"/>
    </w:pPr>
  </w:style>
  <w:style w:type="paragraph" w:styleId="ad">
    <w:name w:val="annotation text"/>
    <w:basedOn w:val="Standard"/>
  </w:style>
  <w:style w:type="paragraph" w:styleId="ae">
    <w:name w:val="annotation subject"/>
    <w:basedOn w:val="ad"/>
    <w:next w:val="ad"/>
    <w:rPr>
      <w:b/>
      <w:bCs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customStyle="1" w:styleId="af1">
    <w:name w:val="註解方塊文字 字元"/>
    <w:basedOn w:val="a0"/>
    <w:rPr>
      <w:rFonts w:ascii="Calibri Light" w:eastAsia="新細明體" w:hAnsi="Calibri Light" w:cs="Mangal"/>
      <w:sz w:val="18"/>
      <w:szCs w:val="18"/>
    </w:rPr>
  </w:style>
  <w:style w:type="character" w:customStyle="1" w:styleId="af2">
    <w:name w:val="純文字 字元"/>
    <w:basedOn w:val="a0"/>
    <w:rPr>
      <w:rFonts w:ascii="細明體" w:eastAsia="細明體" w:hAnsi="細明體" w:cs="Times New Roman"/>
      <w:kern w:val="3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3">
    <w:name w:val="日期 字元"/>
    <w:basedOn w:val="a0"/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</w:style>
  <w:style w:type="character" w:customStyle="1" w:styleId="af6">
    <w:name w:val="註解主旨 字元"/>
    <w:basedOn w:val="af5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ascii="標楷體" w:eastAsia="標楷體" w:hAnsi="標楷體" w:cs="標楷體"/>
      <w:b/>
      <w:color w:val="auto"/>
      <w:sz w:val="32"/>
    </w:rPr>
  </w:style>
  <w:style w:type="character" w:customStyle="1" w:styleId="ListLabel5">
    <w:name w:val="ListLabel 5"/>
    <w:rPr>
      <w:rFonts w:ascii="標楷體" w:eastAsia="標楷體" w:hAnsi="標楷體" w:cs="標楷體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Noto Sans Symbols" w:cs="Noto Sans Symbols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eastAsia="Noto Sans Symbols" w:cs="Noto Sans Symbols"/>
    </w:rPr>
  </w:style>
  <w:style w:type="character" w:customStyle="1" w:styleId="ListLabel11">
    <w:name w:val="ListLabel 11"/>
    <w:rPr>
      <w:rFonts w:eastAsia="Noto Sans Symbols" w:cs="Noto Sans Symbols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ascii="標楷體" w:eastAsia="Times New Roman" w:hAnsi="標楷體" w:cs="Times New Roman"/>
      <w:sz w:val="28"/>
    </w:rPr>
  </w:style>
  <w:style w:type="character" w:customStyle="1" w:styleId="ListLabel15">
    <w:name w:val="ListLabel 15"/>
    <w:rPr>
      <w:lang w:eastAsia="zh-TW"/>
    </w:rPr>
  </w:style>
  <w:style w:type="character" w:customStyle="1" w:styleId="ListLabel16">
    <w:name w:val="ListLabel 16"/>
    <w:rPr>
      <w:lang w:eastAsia="zh-TW"/>
    </w:rPr>
  </w:style>
  <w:style w:type="character" w:customStyle="1" w:styleId="ListLabel17">
    <w:name w:val="ListLabel 17"/>
    <w:rPr>
      <w:rFonts w:ascii="標楷體" w:eastAsia="標楷體" w:hAnsi="標楷體" w:cs="標楷體"/>
      <w:color w:val="auto"/>
      <w:sz w:val="28"/>
    </w:rPr>
  </w:style>
  <w:style w:type="character" w:customStyle="1" w:styleId="ListLabel18">
    <w:name w:val="ListLabel 18"/>
    <w:rPr>
      <w:rFonts w:ascii="標楷體" w:eastAsia="標楷體" w:hAnsi="標楷體" w:cs="標楷體"/>
      <w:color w:val="auto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2</cp:revision>
  <cp:lastPrinted>2024-09-13T01:55:00Z</cp:lastPrinted>
  <dcterms:created xsi:type="dcterms:W3CDTF">2025-07-16T10:16:00Z</dcterms:created>
  <dcterms:modified xsi:type="dcterms:W3CDTF">2025-07-16T10:16:00Z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